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4</w:t>
      </w:r>
    </w:p>
    <w:p>
      <w:pPr>
        <w:spacing w:line="360" w:lineRule="auto"/>
        <w:jc w:val="center"/>
        <w:rPr>
          <w:rFonts w:ascii="黑体" w:hAnsi="黑体" w:eastAsia="黑体"/>
          <w:b/>
          <w:spacing w:val="20"/>
          <w:sz w:val="28"/>
          <w:szCs w:val="28"/>
        </w:rPr>
      </w:pPr>
      <w:r>
        <w:rPr>
          <w:rFonts w:hint="eastAsia" w:ascii="黑体" w:hAnsi="黑体" w:eastAsia="黑体"/>
          <w:b/>
          <w:spacing w:val="20"/>
          <w:sz w:val="28"/>
          <w:szCs w:val="28"/>
        </w:rPr>
        <w:t>哈尔滨理工大学硕士专业学位研究生产业导师资格申请表</w:t>
      </w:r>
    </w:p>
    <w:p>
      <w:pPr>
        <w:ind w:left="-141" w:leftChars="-67"/>
        <w:rPr>
          <w:szCs w:val="21"/>
        </w:rPr>
      </w:pPr>
    </w:p>
    <w:tbl>
      <w:tblPr>
        <w:tblStyle w:val="4"/>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134"/>
        <w:gridCol w:w="709"/>
        <w:gridCol w:w="14"/>
        <w:gridCol w:w="1404"/>
        <w:gridCol w:w="425"/>
        <w:gridCol w:w="425"/>
        <w:gridCol w:w="851"/>
        <w:gridCol w:w="708"/>
        <w:gridCol w:w="85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restart"/>
            <w:vAlign w:val="center"/>
          </w:tcPr>
          <w:p>
            <w:pPr>
              <w:jc w:val="center"/>
              <w:rPr>
                <w:rFonts w:ascii="仿宋_GB2312" w:eastAsia="仿宋_GB2312"/>
                <w:sz w:val="24"/>
                <w:szCs w:val="24"/>
              </w:rPr>
            </w:pPr>
            <w:r>
              <w:rPr>
                <w:rFonts w:hint="eastAsia" w:ascii="仿宋_GB2312" w:eastAsia="仿宋_GB2312"/>
                <w:sz w:val="24"/>
                <w:szCs w:val="24"/>
              </w:rPr>
              <w:t>姓名</w:t>
            </w:r>
          </w:p>
        </w:tc>
        <w:tc>
          <w:tcPr>
            <w:tcW w:w="1134" w:type="dxa"/>
            <w:vMerge w:val="restart"/>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周頔</w:t>
            </w:r>
          </w:p>
        </w:tc>
        <w:tc>
          <w:tcPr>
            <w:tcW w:w="709" w:type="dxa"/>
            <w:vAlign w:val="center"/>
          </w:tcPr>
          <w:p>
            <w:pPr>
              <w:jc w:val="center"/>
              <w:rPr>
                <w:rFonts w:ascii="仿宋_GB2312" w:eastAsia="仿宋_GB2312"/>
                <w:sz w:val="24"/>
                <w:szCs w:val="24"/>
              </w:rPr>
            </w:pPr>
            <w:r>
              <w:rPr>
                <w:rFonts w:hint="eastAsia" w:ascii="仿宋_GB2312" w:eastAsia="仿宋_GB2312"/>
                <w:sz w:val="24"/>
                <w:szCs w:val="24"/>
              </w:rPr>
              <w:t>性别</w:t>
            </w:r>
          </w:p>
        </w:tc>
        <w:tc>
          <w:tcPr>
            <w:tcW w:w="1418" w:type="dxa"/>
            <w:gridSpan w:val="2"/>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男</w:t>
            </w:r>
          </w:p>
        </w:tc>
        <w:tc>
          <w:tcPr>
            <w:tcW w:w="850" w:type="dxa"/>
            <w:gridSpan w:val="2"/>
            <w:vAlign w:val="center"/>
          </w:tcPr>
          <w:p>
            <w:pPr>
              <w:jc w:val="center"/>
              <w:rPr>
                <w:rFonts w:ascii="仿宋_GB2312" w:eastAsia="仿宋_GB2312"/>
                <w:sz w:val="24"/>
                <w:szCs w:val="24"/>
              </w:rPr>
            </w:pPr>
            <w:r>
              <w:rPr>
                <w:rFonts w:hint="eastAsia" w:ascii="仿宋_GB2312" w:eastAsia="仿宋_GB2312"/>
                <w:sz w:val="24"/>
                <w:szCs w:val="24"/>
              </w:rPr>
              <w:t>出生年月</w:t>
            </w:r>
          </w:p>
        </w:tc>
        <w:tc>
          <w:tcPr>
            <w:tcW w:w="1559" w:type="dxa"/>
            <w:gridSpan w:val="2"/>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1983.6</w:t>
            </w:r>
          </w:p>
        </w:tc>
        <w:tc>
          <w:tcPr>
            <w:tcW w:w="851" w:type="dxa"/>
            <w:vAlign w:val="center"/>
          </w:tcPr>
          <w:p>
            <w:pPr>
              <w:jc w:val="center"/>
              <w:rPr>
                <w:rFonts w:ascii="仿宋_GB2312" w:eastAsia="仿宋_GB2312"/>
                <w:sz w:val="24"/>
                <w:szCs w:val="24"/>
              </w:rPr>
            </w:pPr>
            <w:r>
              <w:rPr>
                <w:rFonts w:hint="eastAsia" w:ascii="仿宋_GB2312" w:eastAsia="仿宋_GB2312"/>
                <w:sz w:val="24"/>
                <w:szCs w:val="24"/>
              </w:rPr>
              <w:t>政治面貌</w:t>
            </w:r>
          </w:p>
        </w:tc>
        <w:tc>
          <w:tcPr>
            <w:tcW w:w="1276" w:type="dxa"/>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群众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continue"/>
            <w:vAlign w:val="center"/>
          </w:tcPr>
          <w:p>
            <w:pPr>
              <w:jc w:val="center"/>
              <w:rPr>
                <w:rFonts w:ascii="仿宋_GB2312" w:eastAsia="仿宋_GB2312"/>
                <w:sz w:val="24"/>
                <w:szCs w:val="24"/>
              </w:rPr>
            </w:pPr>
          </w:p>
        </w:tc>
        <w:tc>
          <w:tcPr>
            <w:tcW w:w="1134" w:type="dxa"/>
            <w:vMerge w:val="continue"/>
            <w:vAlign w:val="center"/>
          </w:tcPr>
          <w:p>
            <w:pPr>
              <w:jc w:val="center"/>
              <w:rPr>
                <w:rFonts w:ascii="仿宋_GB2312" w:eastAsia="仿宋_GB2312"/>
                <w:sz w:val="24"/>
                <w:szCs w:val="24"/>
              </w:rPr>
            </w:pPr>
          </w:p>
        </w:tc>
        <w:tc>
          <w:tcPr>
            <w:tcW w:w="709" w:type="dxa"/>
            <w:vAlign w:val="center"/>
          </w:tcPr>
          <w:p>
            <w:pPr>
              <w:jc w:val="center"/>
              <w:rPr>
                <w:rFonts w:ascii="仿宋_GB2312" w:eastAsia="仿宋_GB2312"/>
                <w:sz w:val="24"/>
                <w:szCs w:val="24"/>
              </w:rPr>
            </w:pPr>
            <w:r>
              <w:rPr>
                <w:rFonts w:hint="eastAsia" w:ascii="仿宋_GB2312" w:eastAsia="仿宋_GB2312"/>
                <w:sz w:val="24"/>
                <w:szCs w:val="24"/>
              </w:rPr>
              <w:t>民族</w:t>
            </w:r>
          </w:p>
        </w:tc>
        <w:tc>
          <w:tcPr>
            <w:tcW w:w="1418" w:type="dxa"/>
            <w:gridSpan w:val="2"/>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汉</w:t>
            </w:r>
          </w:p>
        </w:tc>
        <w:tc>
          <w:tcPr>
            <w:tcW w:w="850" w:type="dxa"/>
            <w:gridSpan w:val="2"/>
            <w:vAlign w:val="center"/>
          </w:tcPr>
          <w:p>
            <w:pPr>
              <w:jc w:val="center"/>
              <w:rPr>
                <w:rFonts w:ascii="仿宋_GB2312" w:eastAsia="仿宋_GB2312"/>
                <w:sz w:val="24"/>
                <w:szCs w:val="24"/>
              </w:rPr>
            </w:pPr>
            <w:r>
              <w:rPr>
                <w:rFonts w:hint="eastAsia" w:ascii="仿宋_GB2312" w:eastAsia="仿宋_GB2312"/>
                <w:sz w:val="24"/>
                <w:szCs w:val="24"/>
              </w:rPr>
              <w:t>学历</w:t>
            </w:r>
          </w:p>
        </w:tc>
        <w:tc>
          <w:tcPr>
            <w:tcW w:w="1559" w:type="dxa"/>
            <w:gridSpan w:val="2"/>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博士研究生</w:t>
            </w:r>
          </w:p>
        </w:tc>
        <w:tc>
          <w:tcPr>
            <w:tcW w:w="851" w:type="dxa"/>
            <w:vAlign w:val="center"/>
          </w:tcPr>
          <w:p>
            <w:pPr>
              <w:jc w:val="center"/>
              <w:rPr>
                <w:rFonts w:ascii="仿宋_GB2312" w:eastAsia="仿宋_GB2312"/>
                <w:sz w:val="24"/>
                <w:szCs w:val="24"/>
              </w:rPr>
            </w:pPr>
            <w:r>
              <w:rPr>
                <w:rFonts w:hint="eastAsia" w:ascii="仿宋_GB2312" w:eastAsia="仿宋_GB2312"/>
                <w:sz w:val="24"/>
                <w:szCs w:val="24"/>
              </w:rPr>
              <w:t>学位</w:t>
            </w:r>
          </w:p>
        </w:tc>
        <w:tc>
          <w:tcPr>
            <w:tcW w:w="1276" w:type="dxa"/>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工作单位</w:t>
            </w:r>
          </w:p>
        </w:tc>
        <w:tc>
          <w:tcPr>
            <w:tcW w:w="6663" w:type="dxa"/>
            <w:gridSpan w:val="9"/>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深圳市计量质量检测研究院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专业技术职称</w:t>
            </w:r>
          </w:p>
        </w:tc>
        <w:tc>
          <w:tcPr>
            <w:tcW w:w="2552" w:type="dxa"/>
            <w:gridSpan w:val="4"/>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高级工程师</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职务</w:t>
            </w:r>
          </w:p>
        </w:tc>
        <w:tc>
          <w:tcPr>
            <w:tcW w:w="2835" w:type="dxa"/>
            <w:gridSpan w:val="3"/>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新能源检测事业部副部长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850" w:type="dxa"/>
            <w:gridSpan w:val="4"/>
            <w:vAlign w:val="center"/>
          </w:tcPr>
          <w:p>
            <w:pPr>
              <w:jc w:val="center"/>
              <w:rPr>
                <w:rFonts w:ascii="仿宋_GB2312" w:eastAsia="仿宋_GB2312"/>
                <w:sz w:val="24"/>
                <w:szCs w:val="24"/>
              </w:rPr>
            </w:pPr>
            <w:r>
              <w:rPr>
                <w:rFonts w:hint="eastAsia" w:ascii="仿宋_GB2312" w:eastAsia="仿宋_GB2312"/>
                <w:sz w:val="24"/>
                <w:szCs w:val="24"/>
              </w:rPr>
              <w:t>研究生培养基地名称</w:t>
            </w:r>
          </w:p>
        </w:tc>
        <w:tc>
          <w:tcPr>
            <w:tcW w:w="5940" w:type="dxa"/>
            <w:gridSpan w:val="7"/>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国家电动汽车电池及充电系统产业计量测试中心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申报专业学位</w:t>
            </w:r>
          </w:p>
          <w:p>
            <w:pPr>
              <w:jc w:val="center"/>
              <w:rPr>
                <w:rFonts w:ascii="仿宋_GB2312" w:eastAsia="仿宋_GB2312"/>
                <w:sz w:val="24"/>
                <w:szCs w:val="24"/>
              </w:rPr>
            </w:pPr>
            <w:r>
              <w:rPr>
                <w:rFonts w:hint="eastAsia" w:ascii="仿宋_GB2312" w:eastAsia="仿宋_GB2312"/>
                <w:sz w:val="24"/>
                <w:szCs w:val="24"/>
              </w:rPr>
              <w:t>类别、领域</w:t>
            </w:r>
          </w:p>
        </w:tc>
        <w:tc>
          <w:tcPr>
            <w:tcW w:w="2552" w:type="dxa"/>
            <w:gridSpan w:val="4"/>
            <w:vAlign w:val="center"/>
          </w:tcPr>
          <w:p>
            <w:pPr>
              <w:jc w:val="center"/>
              <w:rPr>
                <w:rFonts w:ascii="仿宋_GB2312" w:eastAsia="仿宋_GB2312"/>
                <w:sz w:val="24"/>
                <w:szCs w:val="24"/>
              </w:rPr>
            </w:pPr>
            <w:r>
              <w:rPr>
                <w:rFonts w:hint="eastAsia" w:ascii="仿宋_GB2312" w:eastAsia="仿宋_GB2312"/>
                <w:sz w:val="24"/>
                <w:szCs w:val="24"/>
              </w:rPr>
              <w:t xml:space="preserve">/ </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研究方向</w:t>
            </w:r>
          </w:p>
        </w:tc>
        <w:tc>
          <w:tcPr>
            <w:tcW w:w="2835" w:type="dxa"/>
            <w:gridSpan w:val="3"/>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充电桩、储能、动力电池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职业资格证书</w:t>
            </w:r>
          </w:p>
        </w:tc>
        <w:tc>
          <w:tcPr>
            <w:tcW w:w="6663" w:type="dxa"/>
            <w:gridSpan w:val="9"/>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联系电话</w:t>
            </w:r>
          </w:p>
        </w:tc>
        <w:tc>
          <w:tcPr>
            <w:tcW w:w="2552" w:type="dxa"/>
            <w:gridSpan w:val="4"/>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周頔</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E-mail</w:t>
            </w:r>
          </w:p>
        </w:tc>
        <w:tc>
          <w:tcPr>
            <w:tcW w:w="2835" w:type="dxa"/>
            <w:gridSpan w:val="3"/>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zhoudi@smq.com.cn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1"/>
            <w:vAlign w:val="center"/>
          </w:tcPr>
          <w:p>
            <w:pPr>
              <w:jc w:val="center"/>
              <w:rPr>
                <w:rFonts w:ascii="仿宋_GB2312" w:eastAsia="仿宋_GB2312"/>
                <w:sz w:val="24"/>
                <w:szCs w:val="24"/>
              </w:rPr>
            </w:pPr>
            <w:r>
              <w:rPr>
                <w:rFonts w:hint="eastAsia" w:ascii="仿宋_GB2312" w:eastAsia="仿宋_GB2312"/>
                <w:sz w:val="24"/>
                <w:szCs w:val="24"/>
              </w:rPr>
              <w:t>主要学习工作经历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8" w:hRule="atLeast"/>
        </w:trPr>
        <w:tc>
          <w:tcPr>
            <w:tcW w:w="8790" w:type="dxa"/>
            <w:gridSpan w:val="11"/>
            <w:vAlign w:val="center"/>
          </w:tcPr>
          <w:p>
            <w:pPr>
              <w:widowControl/>
              <w:autoSpaceDE w:val="0"/>
              <w:autoSpaceDN w:val="0"/>
              <w:adjustRightInd w:val="0"/>
              <w:jc w:val="left"/>
              <w:rPr>
                <w:rFonts w:ascii="仿宋_GB2312" w:eastAsia="仿宋_GB2312" w:cs="仿宋"/>
                <w:kern w:val="0"/>
                <w:sz w:val="24"/>
                <w:szCs w:val="24"/>
              </w:rPr>
            </w:pPr>
          </w:p>
          <w:p>
            <w:pPr>
              <w:widowControl/>
              <w:autoSpaceDE w:val="0"/>
              <w:autoSpaceDN w:val="0"/>
              <w:adjustRightInd w:val="0"/>
              <w:jc w:val="left"/>
              <w:rPr>
                <w:rFonts w:hint="eastAsia" w:ascii="仿宋_GB2312" w:eastAsia="仿宋_GB2312" w:cs="仿宋"/>
                <w:kern w:val="0"/>
                <w:sz w:val="24"/>
                <w:szCs w:val="24"/>
                <w:lang w:val="en-US" w:eastAsia="zh-CN"/>
              </w:rPr>
            </w:pPr>
            <w:r>
              <w:rPr>
                <w:rFonts w:hint="eastAsia" w:ascii="仿宋_GB2312" w:eastAsia="仿宋_GB2312" w:cs="仿宋"/>
                <w:kern w:val="0"/>
                <w:sz w:val="24"/>
                <w:szCs w:val="24"/>
                <w:lang w:val="en-US" w:eastAsia="zh-CN"/>
              </w:rPr>
              <w:t>2002-2006 哈尔滨理工大学 电气工程学院 学士</w:t>
            </w:r>
          </w:p>
          <w:p>
            <w:pPr>
              <w:widowControl/>
              <w:autoSpaceDE w:val="0"/>
              <w:autoSpaceDN w:val="0"/>
              <w:adjustRightInd w:val="0"/>
              <w:jc w:val="left"/>
              <w:rPr>
                <w:rFonts w:hint="eastAsia" w:ascii="仿宋_GB2312" w:eastAsia="仿宋_GB2312" w:cs="仿宋"/>
                <w:kern w:val="0"/>
                <w:sz w:val="24"/>
                <w:szCs w:val="24"/>
                <w:lang w:val="en-US" w:eastAsia="zh-CN"/>
              </w:rPr>
            </w:pPr>
            <w:r>
              <w:rPr>
                <w:rFonts w:hint="eastAsia" w:ascii="仿宋_GB2312" w:eastAsia="仿宋_GB2312" w:cs="仿宋"/>
                <w:kern w:val="0"/>
                <w:sz w:val="24"/>
                <w:szCs w:val="24"/>
                <w:lang w:val="en-US" w:eastAsia="zh-CN"/>
              </w:rPr>
              <w:t>2007-2009 哈尔滨工业大学 电气工程学院 硕士</w:t>
            </w:r>
          </w:p>
          <w:p>
            <w:pPr>
              <w:widowControl/>
              <w:autoSpaceDE w:val="0"/>
              <w:autoSpaceDN w:val="0"/>
              <w:adjustRightInd w:val="0"/>
              <w:jc w:val="left"/>
              <w:rPr>
                <w:rFonts w:hint="eastAsia" w:ascii="仿宋_GB2312" w:eastAsia="仿宋_GB2312" w:cs="仿宋"/>
                <w:kern w:val="0"/>
                <w:sz w:val="24"/>
                <w:szCs w:val="24"/>
                <w:lang w:val="en-US" w:eastAsia="zh-CN"/>
              </w:rPr>
            </w:pPr>
            <w:r>
              <w:rPr>
                <w:rFonts w:hint="eastAsia" w:ascii="仿宋_GB2312" w:eastAsia="仿宋_GB2312" w:cs="仿宋"/>
                <w:kern w:val="0"/>
                <w:sz w:val="24"/>
                <w:szCs w:val="24"/>
                <w:lang w:val="en-US" w:eastAsia="zh-CN"/>
              </w:rPr>
              <w:t>2012-2019 哈尔滨工业大学 信息与通信工程学院 博士</w:t>
            </w:r>
          </w:p>
          <w:p>
            <w:pPr>
              <w:widowControl/>
              <w:autoSpaceDE w:val="0"/>
              <w:autoSpaceDN w:val="0"/>
              <w:adjustRightInd w:val="0"/>
              <w:jc w:val="left"/>
              <w:rPr>
                <w:rFonts w:hint="default" w:ascii="仿宋_GB2312" w:eastAsia="仿宋_GB2312" w:cs="仿宋"/>
                <w:kern w:val="0"/>
                <w:sz w:val="24"/>
                <w:szCs w:val="24"/>
                <w:lang w:val="en-US" w:eastAsia="zh-CN"/>
              </w:rPr>
            </w:pPr>
            <w:r>
              <w:rPr>
                <w:rFonts w:hint="eastAsia" w:ascii="仿宋_GB2312" w:eastAsia="仿宋_GB2312" w:cs="仿宋"/>
                <w:kern w:val="0"/>
                <w:sz w:val="24"/>
                <w:szCs w:val="24"/>
                <w:lang w:val="en-US" w:eastAsia="zh-CN"/>
              </w:rPr>
              <w:t>2010-至今 深圳市计量质量检测研究院 工作</w:t>
            </w:r>
          </w:p>
          <w:p>
            <w:pPr>
              <w:widowControl/>
              <w:autoSpaceDE w:val="0"/>
              <w:autoSpaceDN w:val="0"/>
              <w:adjustRightInd w:val="0"/>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1"/>
            <w:vAlign w:val="center"/>
          </w:tcPr>
          <w:p>
            <w:pPr>
              <w:jc w:val="center"/>
              <w:rPr>
                <w:rFonts w:ascii="仿宋_GB2312" w:eastAsia="仿宋_GB2312"/>
                <w:sz w:val="24"/>
                <w:szCs w:val="24"/>
              </w:rPr>
            </w:pPr>
            <w:r>
              <w:rPr>
                <w:rFonts w:hint="eastAsia" w:ascii="仿宋_GB2312" w:eastAsia="仿宋_GB2312"/>
                <w:sz w:val="24"/>
                <w:szCs w:val="24"/>
              </w:rPr>
              <w:t>从事领域与专业特长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5" w:hRule="atLeast"/>
        </w:trPr>
        <w:tc>
          <w:tcPr>
            <w:tcW w:w="8790" w:type="dxa"/>
            <w:gridSpan w:val="11"/>
            <w:vAlign w:val="center"/>
          </w:tcPr>
          <w:p>
            <w:pPr>
              <w:rPr>
                <w:rFonts w:ascii="仿宋_GB2312" w:eastAsia="仿宋_GB2312"/>
                <w:sz w:val="24"/>
                <w:szCs w:val="24"/>
              </w:rPr>
            </w:pPr>
            <w:r>
              <w:rPr>
                <w:rFonts w:hint="eastAsia" w:ascii="仿宋_GB2312" w:eastAsia="仿宋_GB2312"/>
                <w:sz w:val="24"/>
                <w:szCs w:val="24"/>
              </w:rPr>
              <w:t xml:space="preserve">    </w:t>
            </w:r>
          </w:p>
          <w:p>
            <w:pPr>
              <w:spacing w:line="360" w:lineRule="auto"/>
              <w:ind w:firstLine="480" w:firstLineChars="200"/>
              <w:rPr>
                <w:rFonts w:hint="eastAsia" w:ascii="仿宋" w:hAnsi="仿宋" w:eastAsia="仿宋" w:cs="仿宋_GB2312"/>
                <w:sz w:val="24"/>
                <w:szCs w:val="24"/>
              </w:rPr>
            </w:pPr>
            <w:r>
              <w:rPr>
                <w:rFonts w:hint="eastAsia" w:ascii="仿宋" w:hAnsi="仿宋" w:eastAsia="仿宋" w:cs="仿宋_GB2312"/>
                <w:sz w:val="24"/>
                <w:szCs w:val="24"/>
                <w:lang w:val="en-US" w:eastAsia="zh-CN"/>
              </w:rPr>
              <w:t>工学</w:t>
            </w:r>
            <w:r>
              <w:rPr>
                <w:rFonts w:hint="eastAsia" w:ascii="仿宋" w:hAnsi="仿宋" w:eastAsia="仿宋" w:cs="仿宋_GB2312"/>
                <w:sz w:val="24"/>
                <w:szCs w:val="24"/>
              </w:rPr>
              <w:t>博士,深圳市计量质量检测研究院计量新能源检测事业部副部长，高级工程师。全国测量不确定度计量技术委员</w:t>
            </w:r>
            <w:r>
              <w:rPr>
                <w:rFonts w:hint="eastAsia" w:ascii="仿宋" w:hAnsi="仿宋" w:eastAsia="仿宋" w:cs="仿宋_GB2312"/>
                <w:sz w:val="24"/>
                <w:szCs w:val="24"/>
                <w:lang w:val="en-US" w:eastAsia="zh-CN"/>
              </w:rPr>
              <w:t>会委员，</w:t>
            </w:r>
            <w:r>
              <w:rPr>
                <w:rFonts w:hint="eastAsia" w:ascii="仿宋" w:hAnsi="仿宋" w:eastAsia="仿宋" w:cs="仿宋_GB2312"/>
                <w:sz w:val="24"/>
                <w:szCs w:val="24"/>
              </w:rPr>
              <w:t>能源行业电动汽车充电设施标准化技术委员会电动汽车充电检测认证标准工作组成员，IEEE PES（中国）电力系统测量与仪器技术委员会电力系统测量数字化技术分委会</w:t>
            </w:r>
            <w:r>
              <w:rPr>
                <w:rFonts w:hint="eastAsia" w:ascii="仿宋" w:hAnsi="仿宋" w:eastAsia="仿宋" w:cs="仿宋_GB2312"/>
                <w:sz w:val="24"/>
                <w:szCs w:val="24"/>
                <w:lang w:val="en-US" w:eastAsia="zh-CN"/>
              </w:rPr>
              <w:t>委员，</w:t>
            </w:r>
            <w:r>
              <w:rPr>
                <w:rFonts w:hint="eastAsia" w:ascii="仿宋" w:hAnsi="仿宋" w:eastAsia="仿宋" w:cs="仿宋_GB2312"/>
                <w:sz w:val="24"/>
                <w:szCs w:val="24"/>
              </w:rPr>
              <w:t>广东省电动汽车标准化委员会委员</w:t>
            </w:r>
            <w:r>
              <w:rPr>
                <w:rFonts w:hint="eastAsia" w:ascii="仿宋" w:hAnsi="仿宋" w:eastAsia="仿宋" w:cs="仿宋_GB2312"/>
                <w:sz w:val="24"/>
                <w:szCs w:val="24"/>
                <w:lang w:eastAsia="zh-CN"/>
              </w:rPr>
              <w:t>。IEEE Transactions</w:t>
            </w:r>
            <w:r>
              <w:rPr>
                <w:rFonts w:ascii="仿宋" w:hAnsi="仿宋" w:eastAsia="仿宋" w:cs="仿宋_GB2312"/>
                <w:sz w:val="24"/>
                <w:szCs w:val="24"/>
              </w:rPr>
              <w:t>等</w:t>
            </w:r>
            <w:r>
              <w:rPr>
                <w:rFonts w:hint="eastAsia" w:ascii="仿宋" w:hAnsi="仿宋" w:eastAsia="仿宋" w:cs="仿宋_GB2312"/>
                <w:sz w:val="24"/>
                <w:szCs w:val="24"/>
              </w:rPr>
              <w:t>国际</w:t>
            </w:r>
            <w:r>
              <w:rPr>
                <w:rFonts w:ascii="仿宋" w:hAnsi="仿宋" w:eastAsia="仿宋" w:cs="仿宋_GB2312"/>
                <w:sz w:val="24"/>
                <w:szCs w:val="24"/>
              </w:rPr>
              <w:t>期刊审稿人。</w:t>
            </w:r>
            <w:r>
              <w:rPr>
                <w:rFonts w:hint="eastAsia" w:ascii="仿宋" w:hAnsi="仿宋" w:eastAsia="仿宋" w:cs="仿宋_GB2312"/>
                <w:sz w:val="24"/>
                <w:szCs w:val="24"/>
              </w:rPr>
              <w:t>储能与智能电网技术国家重点专项指南编制</w:t>
            </w:r>
            <w:r>
              <w:rPr>
                <w:rFonts w:hint="eastAsia" w:ascii="仿宋" w:hAnsi="仿宋" w:eastAsia="仿宋" w:cs="仿宋_GB2312"/>
                <w:sz w:val="24"/>
                <w:szCs w:val="24"/>
                <w:lang w:val="en-US" w:eastAsia="zh-CN"/>
              </w:rPr>
              <w:t>专家。</w:t>
            </w:r>
            <w:r>
              <w:rPr>
                <w:rFonts w:hint="eastAsia" w:ascii="仿宋" w:hAnsi="仿宋" w:eastAsia="仿宋" w:cs="仿宋_GB2312"/>
                <w:sz w:val="24"/>
                <w:szCs w:val="24"/>
              </w:rPr>
              <w:t>主要</w:t>
            </w:r>
            <w:r>
              <w:rPr>
                <w:rFonts w:hint="eastAsia" w:ascii="仿宋" w:hAnsi="仿宋" w:eastAsia="仿宋" w:cs="仿宋_GB2312"/>
                <w:sz w:val="24"/>
                <w:szCs w:val="24"/>
                <w:lang w:val="en-US" w:eastAsia="zh-CN"/>
              </w:rPr>
              <w:t>研究</w:t>
            </w:r>
            <w:r>
              <w:rPr>
                <w:rFonts w:hint="eastAsia" w:ascii="仿宋" w:hAnsi="仿宋" w:eastAsia="仿宋" w:cs="仿宋_GB2312"/>
                <w:sz w:val="24"/>
                <w:szCs w:val="24"/>
              </w:rPr>
              <w:t>方向包括</w:t>
            </w:r>
            <w:r>
              <w:rPr>
                <w:rFonts w:hint="eastAsia" w:ascii="仿宋" w:hAnsi="仿宋" w:eastAsia="仿宋" w:cs="仿宋_GB2312"/>
                <w:sz w:val="24"/>
                <w:szCs w:val="24"/>
                <w:lang w:val="en-US" w:eastAsia="zh-CN"/>
              </w:rPr>
              <w:t>新能源汽车大数据技术、</w:t>
            </w:r>
            <w:r>
              <w:rPr>
                <w:rFonts w:hint="eastAsia" w:ascii="仿宋" w:hAnsi="仿宋" w:eastAsia="仿宋" w:cs="仿宋_GB2312"/>
                <w:sz w:val="24"/>
                <w:szCs w:val="24"/>
              </w:rPr>
              <w:t>动力电池健康评估方法、电动汽车电池故障诊断、充电设施安全保障、远程计量技术等。主持制定国家检定规程《非车载充电机》等2项，参与制定国家</w:t>
            </w:r>
            <w:r>
              <w:rPr>
                <w:rFonts w:hint="eastAsia" w:ascii="仿宋" w:hAnsi="仿宋" w:eastAsia="仿宋" w:cs="仿宋_GB2312"/>
                <w:sz w:val="24"/>
                <w:szCs w:val="24"/>
                <w:lang w:eastAsia="zh-CN"/>
              </w:rPr>
              <w:t>、</w:t>
            </w:r>
            <w:r>
              <w:rPr>
                <w:rFonts w:hint="eastAsia" w:ascii="仿宋" w:hAnsi="仿宋" w:eastAsia="仿宋" w:cs="仿宋_GB2312"/>
                <w:sz w:val="24"/>
                <w:szCs w:val="24"/>
                <w:lang w:val="en-US" w:eastAsia="zh-CN"/>
              </w:rPr>
              <w:t>行业及地方</w:t>
            </w:r>
            <w:r>
              <w:rPr>
                <w:rFonts w:hint="eastAsia" w:ascii="仿宋" w:hAnsi="仿宋" w:eastAsia="仿宋" w:cs="仿宋_GB2312"/>
                <w:sz w:val="24"/>
                <w:szCs w:val="24"/>
              </w:rPr>
              <w:t>标准</w:t>
            </w:r>
            <w:r>
              <w:rPr>
                <w:rFonts w:hint="eastAsia" w:ascii="仿宋" w:hAnsi="仿宋" w:eastAsia="仿宋" w:cs="仿宋_GB2312"/>
                <w:sz w:val="24"/>
                <w:szCs w:val="24"/>
                <w:lang w:val="en-US" w:eastAsia="zh-CN"/>
              </w:rPr>
              <w:t>10余</w:t>
            </w:r>
            <w:r>
              <w:rPr>
                <w:rFonts w:hint="eastAsia" w:ascii="仿宋" w:hAnsi="仿宋" w:eastAsia="仿宋" w:cs="仿宋_GB2312"/>
                <w:sz w:val="24"/>
                <w:szCs w:val="24"/>
              </w:rPr>
              <w:t>项。参与交流高频大电流国家基准建立项目，</w:t>
            </w:r>
            <w:r>
              <w:rPr>
                <w:rFonts w:hint="eastAsia" w:ascii="仿宋" w:hAnsi="仿宋" w:eastAsia="仿宋" w:cs="仿宋_GB2312"/>
                <w:sz w:val="24"/>
                <w:szCs w:val="24"/>
                <w:lang w:val="en-US" w:eastAsia="zh-CN"/>
              </w:rPr>
              <w:t>国家自然基金面上项目“面向梯次利用的动力电池多尺度无损检测方法研究”，</w:t>
            </w:r>
            <w:r>
              <w:rPr>
                <w:rFonts w:hint="eastAsia" w:ascii="仿宋" w:hAnsi="仿宋" w:eastAsia="仿宋" w:cs="仿宋_GB2312"/>
                <w:sz w:val="24"/>
                <w:szCs w:val="24"/>
                <w:lang w:eastAsia="zh-TW"/>
              </w:rPr>
              <w:t>国家科技部（863）项目“电动汽车充电计量技术及标准研究”课题</w:t>
            </w:r>
            <w:r>
              <w:rPr>
                <w:rFonts w:hint="eastAsia" w:ascii="仿宋" w:hAnsi="仿宋" w:eastAsia="仿宋" w:cs="仿宋_GB2312"/>
                <w:sz w:val="24"/>
                <w:szCs w:val="24"/>
              </w:rPr>
              <w:t>,国家</w:t>
            </w:r>
            <w:r>
              <w:rPr>
                <w:rFonts w:hint="eastAsia" w:ascii="仿宋" w:hAnsi="仿宋" w:eastAsia="仿宋" w:cs="仿宋_GB2312"/>
                <w:sz w:val="24"/>
                <w:szCs w:val="24"/>
                <w:lang w:val="en-US" w:eastAsia="zh-CN"/>
              </w:rPr>
              <w:t>技术攻关项目</w:t>
            </w:r>
            <w:r>
              <w:rPr>
                <w:rFonts w:hint="eastAsia" w:ascii="仿宋" w:hAnsi="仿宋" w:eastAsia="仿宋" w:cs="仿宋_GB2312"/>
                <w:sz w:val="24"/>
                <w:szCs w:val="24"/>
              </w:rPr>
              <w:t>“新能源储能电池关键参数溯源”</w:t>
            </w:r>
            <w:r>
              <w:rPr>
                <w:rFonts w:hint="eastAsia" w:ascii="仿宋" w:hAnsi="仿宋" w:eastAsia="仿宋" w:cs="仿宋_GB2312"/>
                <w:sz w:val="24"/>
                <w:szCs w:val="24"/>
                <w:lang w:eastAsia="zh-CN"/>
              </w:rPr>
              <w:t>、</w:t>
            </w:r>
            <w:r>
              <w:rPr>
                <w:rFonts w:hint="eastAsia" w:ascii="仿宋" w:hAnsi="仿宋" w:eastAsia="仿宋" w:cs="仿宋_GB2312"/>
                <w:sz w:val="24"/>
                <w:szCs w:val="24"/>
              </w:rPr>
              <w:t>“充电设施现场计量检测方法的研究”，承担深圳市技术攻关项目“电动车充电数据挖掘与主动预测关键技术”</w:t>
            </w:r>
            <w:r>
              <w:rPr>
                <w:rFonts w:hint="eastAsia" w:ascii="仿宋" w:hAnsi="仿宋" w:eastAsia="仿宋" w:cs="仿宋_GB2312"/>
                <w:sz w:val="24"/>
                <w:szCs w:val="24"/>
                <w:lang w:eastAsia="zh-CN"/>
              </w:rPr>
              <w:t>、“ 电动汽车多应用场景智慧充放电系统关键技术研发”</w:t>
            </w:r>
            <w:r>
              <w:rPr>
                <w:rFonts w:hint="eastAsia" w:ascii="仿宋" w:hAnsi="仿宋" w:eastAsia="仿宋" w:cs="仿宋_GB2312"/>
                <w:sz w:val="24"/>
                <w:szCs w:val="24"/>
              </w:rPr>
              <w:t>。发表SCI收录论文</w:t>
            </w:r>
            <w:r>
              <w:rPr>
                <w:rFonts w:hint="eastAsia" w:ascii="仿宋" w:hAnsi="仿宋" w:eastAsia="仿宋" w:cs="仿宋_GB2312"/>
                <w:sz w:val="24"/>
                <w:szCs w:val="24"/>
                <w:lang w:val="en-US" w:eastAsia="zh-CN"/>
              </w:rPr>
              <w:t>5</w:t>
            </w:r>
            <w:r>
              <w:rPr>
                <w:rFonts w:hint="eastAsia" w:ascii="仿宋" w:hAnsi="仿宋" w:eastAsia="仿宋" w:cs="仿宋_GB2312"/>
                <w:sz w:val="24"/>
                <w:szCs w:val="24"/>
              </w:rPr>
              <w:t>篇，</w:t>
            </w:r>
            <w:r>
              <w:rPr>
                <w:rFonts w:hint="eastAsia" w:ascii="仿宋" w:hAnsi="仿宋" w:eastAsia="仿宋" w:cs="仿宋_GB2312"/>
                <w:sz w:val="24"/>
                <w:szCs w:val="24"/>
                <w:lang w:val="en-US" w:eastAsia="zh-CN"/>
              </w:rPr>
              <w:t>EI</w:t>
            </w:r>
            <w:r>
              <w:rPr>
                <w:rFonts w:hint="eastAsia" w:ascii="仿宋" w:hAnsi="仿宋" w:eastAsia="仿宋" w:cs="仿宋_GB2312"/>
                <w:sz w:val="24"/>
                <w:szCs w:val="24"/>
              </w:rPr>
              <w:t>收录论文</w:t>
            </w:r>
            <w:r>
              <w:rPr>
                <w:rFonts w:hint="eastAsia" w:ascii="仿宋" w:hAnsi="仿宋" w:eastAsia="仿宋" w:cs="仿宋_GB2312"/>
                <w:sz w:val="24"/>
                <w:szCs w:val="24"/>
                <w:lang w:val="en-US" w:eastAsia="zh-CN"/>
              </w:rPr>
              <w:t>4</w:t>
            </w:r>
            <w:r>
              <w:rPr>
                <w:rFonts w:hint="eastAsia" w:ascii="仿宋" w:hAnsi="仿宋" w:eastAsia="仿宋" w:cs="仿宋_GB2312"/>
                <w:sz w:val="24"/>
                <w:szCs w:val="24"/>
              </w:rPr>
              <w:t>篇，核心期刊</w:t>
            </w:r>
            <w:r>
              <w:rPr>
                <w:rFonts w:hint="eastAsia" w:ascii="仿宋" w:hAnsi="仿宋" w:eastAsia="仿宋" w:cs="仿宋_GB2312"/>
                <w:sz w:val="24"/>
                <w:szCs w:val="24"/>
                <w:lang w:val="en-US" w:eastAsia="zh-CN"/>
              </w:rPr>
              <w:t>7</w:t>
            </w:r>
            <w:r>
              <w:rPr>
                <w:rFonts w:hint="eastAsia" w:ascii="仿宋" w:hAnsi="仿宋" w:eastAsia="仿宋" w:cs="仿宋_GB2312"/>
                <w:sz w:val="24"/>
                <w:szCs w:val="24"/>
              </w:rPr>
              <w:t>篇，发明专利6项。</w:t>
            </w:r>
          </w:p>
          <w:p>
            <w:pP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1"/>
            <w:vAlign w:val="center"/>
          </w:tcPr>
          <w:p>
            <w:pPr>
              <w:jc w:val="center"/>
              <w:rPr>
                <w:rFonts w:hint="eastAsia" w:ascii="仿宋_GB2312" w:eastAsia="仿宋_GB2312"/>
                <w:sz w:val="24"/>
                <w:szCs w:val="24"/>
              </w:rPr>
            </w:pPr>
            <w:r>
              <w:rPr>
                <w:rFonts w:hint="eastAsia" w:ascii="仿宋_GB2312" w:eastAsia="仿宋_GB2312"/>
                <w:sz w:val="24"/>
                <w:szCs w:val="24"/>
              </w:rPr>
              <w:t>主要业绩（论著、科研项目、科研成果、奖励等）</w:t>
            </w:r>
          </w:p>
          <w:p>
            <w:pPr>
              <w:spacing w:line="360" w:lineRule="auto"/>
              <w:rPr>
                <w:rFonts w:hint="default" w:ascii="仿宋" w:hAnsi="仿宋" w:eastAsia="仿宋" w:cs="仿宋_GB2312"/>
                <w:b/>
                <w:bCs/>
                <w:sz w:val="30"/>
                <w:szCs w:val="30"/>
                <w:lang w:val="en-US" w:eastAsia="zh-CN"/>
              </w:rPr>
            </w:pPr>
            <w:r>
              <w:rPr>
                <w:rFonts w:hint="eastAsia" w:ascii="仿宋" w:hAnsi="仿宋" w:eastAsia="仿宋" w:cs="仿宋_GB2312"/>
                <w:b/>
                <w:bCs/>
                <w:sz w:val="30"/>
                <w:szCs w:val="30"/>
                <w:lang w:val="en-US" w:eastAsia="zh-CN"/>
              </w:rPr>
              <w:t>主持/参与科研项目</w:t>
            </w:r>
          </w:p>
          <w:tbl>
            <w:tblPr>
              <w:tblStyle w:val="4"/>
              <w:tblW w:w="89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02"/>
              <w:gridCol w:w="3180"/>
              <w:gridCol w:w="1960"/>
              <w:gridCol w:w="1328"/>
              <w:gridCol w:w="1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702" w:type="dxa"/>
                  <w:shd w:val="clear" w:color="auto" w:fill="auto"/>
                  <w:noWrap/>
                  <w:vAlign w:val="top"/>
                </w:tcPr>
                <w:p>
                  <w:pPr>
                    <w:keepNext w:val="0"/>
                    <w:keepLines w:val="0"/>
                    <w:widowControl/>
                    <w:suppressLineNumbers w:val="0"/>
                    <w:jc w:val="left"/>
                    <w:textAlignment w:val="top"/>
                    <w:rPr>
                      <w:rFonts w:ascii="MingLiU" w:hAnsi="MingLiU" w:eastAsia="MingLiU" w:cs="MingLiU"/>
                      <w:b/>
                      <w:bCs/>
                      <w:i w:val="0"/>
                      <w:iCs w:val="0"/>
                      <w:color w:val="000000"/>
                      <w:sz w:val="18"/>
                      <w:szCs w:val="18"/>
                      <w:u w:val="none"/>
                    </w:rPr>
                  </w:pPr>
                  <w:r>
                    <w:rPr>
                      <w:rStyle w:val="9"/>
                      <w:sz w:val="18"/>
                      <w:szCs w:val="18"/>
                      <w:lang w:val="en-US" w:eastAsia="zh-CN" w:bidi="ar"/>
                    </w:rPr>
                    <w:t>序号</w:t>
                  </w:r>
                </w:p>
              </w:tc>
              <w:tc>
                <w:tcPr>
                  <w:tcW w:w="3180" w:type="dxa"/>
                  <w:shd w:val="clear" w:color="auto" w:fill="auto"/>
                  <w:noWrap/>
                  <w:vAlign w:val="top"/>
                </w:tcPr>
                <w:p>
                  <w:pPr>
                    <w:keepNext w:val="0"/>
                    <w:keepLines w:val="0"/>
                    <w:widowControl/>
                    <w:suppressLineNumbers w:val="0"/>
                    <w:jc w:val="center"/>
                    <w:textAlignment w:val="top"/>
                    <w:rPr>
                      <w:rFonts w:hint="default" w:ascii="MingLiU" w:hAnsi="MingLiU" w:eastAsia="MingLiU" w:cs="MingLiU"/>
                      <w:b/>
                      <w:bCs/>
                      <w:i w:val="0"/>
                      <w:iCs w:val="0"/>
                      <w:color w:val="000000"/>
                      <w:sz w:val="18"/>
                      <w:szCs w:val="18"/>
                      <w:u w:val="none"/>
                    </w:rPr>
                  </w:pPr>
                  <w:r>
                    <w:rPr>
                      <w:rStyle w:val="9"/>
                      <w:sz w:val="18"/>
                      <w:szCs w:val="18"/>
                      <w:lang w:val="en-US" w:eastAsia="zh-CN" w:bidi="ar"/>
                    </w:rPr>
                    <w:t>项目（课题）名称</w:t>
                  </w:r>
                </w:p>
              </w:tc>
              <w:tc>
                <w:tcPr>
                  <w:tcW w:w="1960" w:type="dxa"/>
                  <w:shd w:val="clear" w:color="auto" w:fill="auto"/>
                  <w:noWrap/>
                  <w:vAlign w:val="top"/>
                </w:tcPr>
                <w:p>
                  <w:pPr>
                    <w:keepNext w:val="0"/>
                    <w:keepLines w:val="0"/>
                    <w:widowControl/>
                    <w:suppressLineNumbers w:val="0"/>
                    <w:jc w:val="center"/>
                    <w:textAlignment w:val="top"/>
                    <w:rPr>
                      <w:rFonts w:hint="default" w:ascii="MingLiU" w:hAnsi="MingLiU" w:eastAsia="MingLiU" w:cs="MingLiU"/>
                      <w:b/>
                      <w:bCs/>
                      <w:i w:val="0"/>
                      <w:iCs w:val="0"/>
                      <w:color w:val="000000"/>
                      <w:sz w:val="18"/>
                      <w:szCs w:val="18"/>
                      <w:u w:val="none"/>
                    </w:rPr>
                  </w:pPr>
                  <w:r>
                    <w:rPr>
                      <w:rStyle w:val="9"/>
                      <w:sz w:val="18"/>
                      <w:szCs w:val="18"/>
                      <w:lang w:val="en-US" w:eastAsia="zh-CN" w:bidi="ar"/>
                    </w:rPr>
                    <w:t>项目类别</w:t>
                  </w:r>
                </w:p>
              </w:tc>
              <w:tc>
                <w:tcPr>
                  <w:tcW w:w="1328" w:type="dxa"/>
                  <w:shd w:val="clear" w:color="auto" w:fill="auto"/>
                  <w:noWrap/>
                  <w:vAlign w:val="top"/>
                </w:tcPr>
                <w:p>
                  <w:pPr>
                    <w:keepNext w:val="0"/>
                    <w:keepLines w:val="0"/>
                    <w:widowControl/>
                    <w:suppressLineNumbers w:val="0"/>
                    <w:jc w:val="left"/>
                    <w:textAlignment w:val="top"/>
                    <w:rPr>
                      <w:rFonts w:hint="default" w:ascii="MingLiU" w:hAnsi="MingLiU" w:eastAsia="MingLiU" w:cs="MingLiU"/>
                      <w:b/>
                      <w:bCs/>
                      <w:i w:val="0"/>
                      <w:iCs w:val="0"/>
                      <w:color w:val="000000"/>
                      <w:sz w:val="18"/>
                      <w:szCs w:val="18"/>
                      <w:u w:val="none"/>
                    </w:rPr>
                  </w:pPr>
                  <w:r>
                    <w:rPr>
                      <w:rStyle w:val="9"/>
                      <w:sz w:val="18"/>
                      <w:szCs w:val="18"/>
                      <w:lang w:val="en-US" w:eastAsia="zh-CN" w:bidi="ar"/>
                    </w:rPr>
                    <w:t>担任角色</w:t>
                  </w:r>
                </w:p>
              </w:tc>
              <w:tc>
                <w:tcPr>
                  <w:tcW w:w="1764" w:type="dxa"/>
                  <w:shd w:val="clear" w:color="auto" w:fill="auto"/>
                  <w:noWrap/>
                  <w:vAlign w:val="top"/>
                </w:tcPr>
                <w:p>
                  <w:pPr>
                    <w:keepNext w:val="0"/>
                    <w:keepLines w:val="0"/>
                    <w:widowControl/>
                    <w:suppressLineNumbers w:val="0"/>
                    <w:jc w:val="center"/>
                    <w:textAlignment w:val="top"/>
                    <w:rPr>
                      <w:rFonts w:hint="default" w:ascii="MingLiU" w:hAnsi="MingLiU" w:eastAsia="MingLiU" w:cs="MingLiU"/>
                      <w:b/>
                      <w:bCs/>
                      <w:i w:val="0"/>
                      <w:iCs w:val="0"/>
                      <w:color w:val="000000"/>
                      <w:sz w:val="18"/>
                      <w:szCs w:val="18"/>
                      <w:u w:val="none"/>
                    </w:rPr>
                  </w:pPr>
                  <w:r>
                    <w:rPr>
                      <w:rStyle w:val="9"/>
                      <w:sz w:val="18"/>
                      <w:szCs w:val="18"/>
                      <w:lang w:val="en-US" w:eastAsia="zh-CN" w:bidi="ar"/>
                    </w:rPr>
                    <w:t>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02" w:type="dxa"/>
                  <w:shd w:val="clear" w:color="auto" w:fill="auto"/>
                  <w:noWrap/>
                  <w:vAlign w:val="center"/>
                </w:tcPr>
                <w:p>
                  <w:pPr>
                    <w:keepNext w:val="0"/>
                    <w:keepLines w:val="0"/>
                    <w:widowControl/>
                    <w:suppressLineNumbers w:val="0"/>
                    <w:jc w:val="left"/>
                    <w:textAlignment w:val="center"/>
                    <w:rPr>
                      <w:rFonts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w:t>
                  </w:r>
                </w:p>
              </w:tc>
              <w:tc>
                <w:tcPr>
                  <w:tcW w:w="3180" w:type="dxa"/>
                  <w:shd w:val="clear" w:color="auto" w:fill="auto"/>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10"/>
                      <w:sz w:val="18"/>
                      <w:szCs w:val="18"/>
                      <w:lang w:val="en-US" w:eastAsia="zh-CN" w:bidi="ar"/>
                    </w:rPr>
                    <w:t>新型大容量储能电池关键计量技术</w:t>
                  </w:r>
                </w:p>
              </w:tc>
              <w:tc>
                <w:tcPr>
                  <w:tcW w:w="1960" w:type="dxa"/>
                  <w:shd w:val="clear" w:color="auto" w:fill="auto"/>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10"/>
                      <w:sz w:val="18"/>
                      <w:szCs w:val="18"/>
                      <w:lang w:val="en-US" w:eastAsia="zh-CN" w:bidi="ar"/>
                    </w:rPr>
                    <w:t>国家重点研发计划</w:t>
                  </w:r>
                </w:p>
              </w:tc>
              <w:tc>
                <w:tcPr>
                  <w:tcW w:w="1328" w:type="dxa"/>
                  <w:shd w:val="clear" w:color="auto" w:fill="auto"/>
                  <w:noWrap/>
                  <w:vAlign w:val="center"/>
                </w:tcPr>
                <w:p>
                  <w:pPr>
                    <w:keepNext w:val="0"/>
                    <w:keepLines w:val="0"/>
                    <w:widowControl/>
                    <w:suppressLineNumbers w:val="0"/>
                    <w:jc w:val="left"/>
                    <w:textAlignment w:val="center"/>
                    <w:rPr>
                      <w:rFonts w:hint="default" w:ascii="MingLiU" w:hAnsi="MingLiU" w:eastAsia="MingLiU" w:cs="MingLiU"/>
                      <w:i w:val="0"/>
                      <w:iCs w:val="0"/>
                      <w:color w:val="000000"/>
                      <w:sz w:val="18"/>
                      <w:szCs w:val="18"/>
                      <w:u w:val="none"/>
                    </w:rPr>
                  </w:pPr>
                  <w:r>
                    <w:rPr>
                      <w:rStyle w:val="10"/>
                      <w:sz w:val="18"/>
                      <w:szCs w:val="18"/>
                      <w:lang w:val="en-US" w:eastAsia="zh-CN" w:bidi="ar"/>
                    </w:rPr>
                    <w:t>参与人员</w:t>
                  </w:r>
                </w:p>
              </w:tc>
              <w:tc>
                <w:tcPr>
                  <w:tcW w:w="1764" w:type="dxa"/>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Style w:val="11"/>
                      <w:rFonts w:eastAsia="宋体"/>
                      <w:sz w:val="18"/>
                      <w:szCs w:val="18"/>
                      <w:lang w:val="en-US" w:eastAsia="zh-CN" w:bidi="ar"/>
                    </w:rPr>
                    <w:t>2016</w:t>
                  </w:r>
                  <w:r>
                    <w:rPr>
                      <w:rStyle w:val="10"/>
                      <w:sz w:val="18"/>
                      <w:szCs w:val="18"/>
                      <w:lang w:val="en-US" w:eastAsia="zh-CN" w:bidi="ar"/>
                    </w:rPr>
                    <w:t>年</w:t>
                  </w:r>
                  <w:r>
                    <w:rPr>
                      <w:rStyle w:val="11"/>
                      <w:rFonts w:eastAsia="宋体"/>
                      <w:sz w:val="18"/>
                      <w:szCs w:val="18"/>
                      <w:lang w:val="en-US" w:eastAsia="zh-CN" w:bidi="ar"/>
                    </w:rPr>
                    <w:t>07</w:t>
                  </w:r>
                  <w:r>
                    <w:rPr>
                      <w:rStyle w:val="10"/>
                      <w:sz w:val="18"/>
                      <w:szCs w:val="18"/>
                      <w:lang w:val="en-US" w:eastAsia="zh-CN" w:bidi="ar"/>
                    </w:rPr>
                    <w:t>月</w:t>
                  </w:r>
                  <w:r>
                    <w:rPr>
                      <w:rStyle w:val="11"/>
                      <w:rFonts w:eastAsia="宋体"/>
                      <w:sz w:val="18"/>
                      <w:szCs w:val="18"/>
                      <w:lang w:val="en-US" w:eastAsia="zh-CN" w:bidi="ar"/>
                    </w:rPr>
                    <w:t>-2020</w:t>
                  </w:r>
                  <w:r>
                    <w:rPr>
                      <w:rStyle w:val="10"/>
                      <w:sz w:val="18"/>
                      <w:szCs w:val="18"/>
                      <w:lang w:val="en-US" w:eastAsia="zh-CN" w:bidi="ar"/>
                    </w:rPr>
                    <w:t xml:space="preserve">年 </w:t>
                  </w:r>
                  <w:r>
                    <w:rPr>
                      <w:rStyle w:val="11"/>
                      <w:rFonts w:eastAsia="宋体"/>
                      <w:sz w:val="18"/>
                      <w:szCs w:val="18"/>
                      <w:lang w:val="en-US" w:eastAsia="zh-CN" w:bidi="ar"/>
                    </w:rPr>
                    <w:t>12</w:t>
                  </w:r>
                  <w:r>
                    <w:rPr>
                      <w:rStyle w:val="10"/>
                      <w:sz w:val="18"/>
                      <w:szCs w:val="18"/>
                      <w:lang w:val="en-US" w:eastAsia="zh-CN" w:bidi="ar"/>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02" w:type="dxa"/>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w:t>
                  </w:r>
                </w:p>
              </w:tc>
              <w:tc>
                <w:tcPr>
                  <w:tcW w:w="3180" w:type="dxa"/>
                  <w:shd w:val="clear" w:color="auto" w:fill="auto"/>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lang w:val="en-US"/>
                    </w:rPr>
                  </w:pPr>
                  <w:r>
                    <w:rPr>
                      <w:rStyle w:val="10"/>
                      <w:sz w:val="18"/>
                      <w:szCs w:val="18"/>
                      <w:lang w:val="en-US" w:eastAsia="zh-CN" w:bidi="ar"/>
                    </w:rPr>
                    <w:t>面向梯次利用的动力电池多尺度无损检测方</w:t>
                  </w:r>
                  <w:r>
                    <w:rPr>
                      <w:rStyle w:val="10"/>
                      <w:rFonts w:hint="eastAsia"/>
                      <w:sz w:val="18"/>
                      <w:szCs w:val="18"/>
                      <w:lang w:val="en-US" w:eastAsia="zh-CN" w:bidi="ar"/>
                    </w:rPr>
                    <w:t>法研究</w:t>
                  </w:r>
                </w:p>
              </w:tc>
              <w:tc>
                <w:tcPr>
                  <w:tcW w:w="1960" w:type="dxa"/>
                  <w:shd w:val="clear" w:color="auto" w:fill="auto"/>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10"/>
                      <w:sz w:val="18"/>
                      <w:szCs w:val="18"/>
                      <w:lang w:val="en-US" w:eastAsia="zh-CN" w:bidi="ar"/>
                    </w:rPr>
                    <w:t>面上项目</w:t>
                  </w:r>
                </w:p>
              </w:tc>
              <w:tc>
                <w:tcPr>
                  <w:tcW w:w="1328" w:type="dxa"/>
                  <w:shd w:val="clear" w:color="auto" w:fill="auto"/>
                  <w:noWrap/>
                  <w:vAlign w:val="center"/>
                </w:tcPr>
                <w:p>
                  <w:pPr>
                    <w:keepNext w:val="0"/>
                    <w:keepLines w:val="0"/>
                    <w:widowControl/>
                    <w:suppressLineNumbers w:val="0"/>
                    <w:jc w:val="left"/>
                    <w:textAlignment w:val="center"/>
                    <w:rPr>
                      <w:rFonts w:hint="default" w:ascii="MingLiU" w:hAnsi="MingLiU" w:eastAsia="MingLiU" w:cs="MingLiU"/>
                      <w:i w:val="0"/>
                      <w:iCs w:val="0"/>
                      <w:color w:val="000000"/>
                      <w:sz w:val="18"/>
                      <w:szCs w:val="18"/>
                      <w:u w:val="none"/>
                    </w:rPr>
                  </w:pPr>
                  <w:r>
                    <w:rPr>
                      <w:rStyle w:val="10"/>
                      <w:sz w:val="18"/>
                      <w:szCs w:val="18"/>
                      <w:lang w:val="en-US" w:eastAsia="zh-CN" w:bidi="ar"/>
                    </w:rPr>
                    <w:t>参与人员</w:t>
                  </w:r>
                </w:p>
              </w:tc>
              <w:tc>
                <w:tcPr>
                  <w:tcW w:w="1764" w:type="dxa"/>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Style w:val="11"/>
                      <w:rFonts w:eastAsia="宋体"/>
                      <w:sz w:val="18"/>
                      <w:szCs w:val="18"/>
                      <w:lang w:val="en-US" w:eastAsia="zh-CN" w:bidi="ar"/>
                    </w:rPr>
                    <w:t>2022</w:t>
                  </w:r>
                  <w:r>
                    <w:rPr>
                      <w:rStyle w:val="10"/>
                      <w:sz w:val="18"/>
                      <w:szCs w:val="18"/>
                      <w:lang w:val="en-US" w:eastAsia="zh-CN" w:bidi="ar"/>
                    </w:rPr>
                    <w:t>年</w:t>
                  </w:r>
                  <w:r>
                    <w:rPr>
                      <w:rStyle w:val="11"/>
                      <w:rFonts w:eastAsia="宋体"/>
                      <w:sz w:val="18"/>
                      <w:szCs w:val="18"/>
                      <w:lang w:val="en-US" w:eastAsia="zh-CN" w:bidi="ar"/>
                    </w:rPr>
                    <w:t xml:space="preserve">01 </w:t>
                  </w:r>
                  <w:r>
                    <w:rPr>
                      <w:rStyle w:val="10"/>
                      <w:sz w:val="18"/>
                      <w:szCs w:val="18"/>
                      <w:lang w:val="en-US" w:eastAsia="zh-CN" w:bidi="ar"/>
                    </w:rPr>
                    <w:t>月</w:t>
                  </w:r>
                  <w:r>
                    <w:rPr>
                      <w:rStyle w:val="11"/>
                      <w:rFonts w:eastAsia="宋体"/>
                      <w:sz w:val="18"/>
                      <w:szCs w:val="18"/>
                      <w:lang w:val="en-US" w:eastAsia="zh-CN" w:bidi="ar"/>
                    </w:rPr>
                    <w:t>-2025</w:t>
                  </w:r>
                  <w:r>
                    <w:rPr>
                      <w:rStyle w:val="10"/>
                      <w:sz w:val="18"/>
                      <w:szCs w:val="18"/>
                      <w:lang w:val="en-US" w:eastAsia="zh-CN" w:bidi="ar"/>
                    </w:rPr>
                    <w:t>年</w:t>
                  </w:r>
                  <w:r>
                    <w:rPr>
                      <w:rStyle w:val="11"/>
                      <w:rFonts w:eastAsia="宋体"/>
                      <w:sz w:val="18"/>
                      <w:szCs w:val="18"/>
                      <w:lang w:val="en-US" w:eastAsia="zh-CN" w:bidi="ar"/>
                    </w:rPr>
                    <w:t>12</w:t>
                  </w:r>
                  <w:r>
                    <w:rPr>
                      <w:rStyle w:val="10"/>
                      <w:sz w:val="18"/>
                      <w:szCs w:val="18"/>
                      <w:lang w:val="en-US" w:eastAsia="zh-CN" w:bidi="ar"/>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02" w:type="dxa"/>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w:t>
                  </w:r>
                </w:p>
              </w:tc>
              <w:tc>
                <w:tcPr>
                  <w:tcW w:w="3180" w:type="dxa"/>
                  <w:shd w:val="clear" w:color="auto" w:fill="auto"/>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10"/>
                      <w:sz w:val="18"/>
                      <w:szCs w:val="18"/>
                      <w:lang w:val="en-US" w:eastAsia="zh-CN" w:bidi="ar"/>
                    </w:rPr>
                    <w:t>电动车充电数据挖掘与主动预测关键技术研发</w:t>
                  </w:r>
                </w:p>
              </w:tc>
              <w:tc>
                <w:tcPr>
                  <w:tcW w:w="1960" w:type="dxa"/>
                  <w:shd w:val="clear" w:color="auto" w:fill="auto"/>
                  <w:noWrap/>
                  <w:vAlign w:val="center"/>
                </w:tcPr>
                <w:p>
                  <w:pPr>
                    <w:keepNext w:val="0"/>
                    <w:keepLines w:val="0"/>
                    <w:widowControl/>
                    <w:suppressLineNumbers w:val="0"/>
                    <w:jc w:val="center"/>
                    <w:textAlignment w:val="center"/>
                    <w:rPr>
                      <w:rFonts w:hint="default" w:ascii="MingLiU" w:hAnsi="MingLiU" w:eastAsia="MingLiU" w:cs="MingLiU"/>
                      <w:i w:val="0"/>
                      <w:iCs w:val="0"/>
                      <w:color w:val="000000"/>
                      <w:sz w:val="18"/>
                      <w:szCs w:val="18"/>
                      <w:u w:val="none"/>
                    </w:rPr>
                  </w:pPr>
                  <w:r>
                    <w:rPr>
                      <w:rStyle w:val="10"/>
                      <w:sz w:val="18"/>
                      <w:szCs w:val="18"/>
                      <w:lang w:val="en-US" w:eastAsia="zh-CN" w:bidi="ar"/>
                    </w:rPr>
                    <w:t>深圳市重点研发</w:t>
                  </w:r>
                </w:p>
              </w:tc>
              <w:tc>
                <w:tcPr>
                  <w:tcW w:w="1328" w:type="dxa"/>
                  <w:shd w:val="clear" w:color="auto" w:fill="auto"/>
                  <w:noWrap/>
                  <w:vAlign w:val="center"/>
                </w:tcPr>
                <w:p>
                  <w:pPr>
                    <w:keepNext w:val="0"/>
                    <w:keepLines w:val="0"/>
                    <w:widowControl/>
                    <w:suppressLineNumbers w:val="0"/>
                    <w:jc w:val="left"/>
                    <w:textAlignment w:val="center"/>
                    <w:rPr>
                      <w:rFonts w:hint="default" w:ascii="MingLiU" w:hAnsi="MingLiU" w:eastAsia="MingLiU" w:cs="MingLiU"/>
                      <w:i w:val="0"/>
                      <w:iCs w:val="0"/>
                      <w:color w:val="000000"/>
                      <w:sz w:val="18"/>
                      <w:szCs w:val="18"/>
                      <w:u w:val="none"/>
                    </w:rPr>
                  </w:pPr>
                  <w:r>
                    <w:rPr>
                      <w:rStyle w:val="10"/>
                      <w:sz w:val="18"/>
                      <w:szCs w:val="18"/>
                      <w:lang w:val="en-US" w:eastAsia="zh-CN" w:bidi="ar"/>
                    </w:rPr>
                    <w:t>参与人员</w:t>
                  </w:r>
                </w:p>
              </w:tc>
              <w:tc>
                <w:tcPr>
                  <w:tcW w:w="1764" w:type="dxa"/>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Style w:val="11"/>
                      <w:rFonts w:eastAsia="宋体"/>
                      <w:sz w:val="18"/>
                      <w:szCs w:val="18"/>
                      <w:lang w:val="en-US" w:eastAsia="zh-CN" w:bidi="ar"/>
                    </w:rPr>
                    <w:t>2017</w:t>
                  </w:r>
                  <w:r>
                    <w:rPr>
                      <w:rStyle w:val="10"/>
                      <w:sz w:val="18"/>
                      <w:szCs w:val="18"/>
                      <w:lang w:val="en-US" w:eastAsia="zh-CN" w:bidi="ar"/>
                    </w:rPr>
                    <w:t>年</w:t>
                  </w:r>
                  <w:r>
                    <w:rPr>
                      <w:rStyle w:val="11"/>
                      <w:rFonts w:eastAsia="宋体"/>
                      <w:sz w:val="18"/>
                      <w:szCs w:val="18"/>
                      <w:lang w:val="en-US" w:eastAsia="zh-CN" w:bidi="ar"/>
                    </w:rPr>
                    <w:t>08</w:t>
                  </w:r>
                  <w:r>
                    <w:rPr>
                      <w:rStyle w:val="10"/>
                      <w:sz w:val="18"/>
                      <w:szCs w:val="18"/>
                      <w:lang w:val="en-US" w:eastAsia="zh-CN" w:bidi="ar"/>
                    </w:rPr>
                    <w:t>月</w:t>
                  </w:r>
                  <w:r>
                    <w:rPr>
                      <w:rStyle w:val="11"/>
                      <w:rFonts w:eastAsia="宋体"/>
                      <w:sz w:val="18"/>
                      <w:szCs w:val="18"/>
                      <w:lang w:val="en-US" w:eastAsia="zh-CN" w:bidi="ar"/>
                    </w:rPr>
                    <w:t>-2020</w:t>
                  </w:r>
                  <w:r>
                    <w:rPr>
                      <w:rStyle w:val="10"/>
                      <w:sz w:val="18"/>
                      <w:szCs w:val="18"/>
                      <w:lang w:val="en-US" w:eastAsia="zh-CN" w:bidi="ar"/>
                    </w:rPr>
                    <w:t>年</w:t>
                  </w:r>
                  <w:r>
                    <w:rPr>
                      <w:rStyle w:val="11"/>
                      <w:rFonts w:eastAsia="宋体"/>
                      <w:sz w:val="18"/>
                      <w:szCs w:val="18"/>
                      <w:lang w:val="en-US" w:eastAsia="zh-CN" w:bidi="ar"/>
                    </w:rPr>
                    <w:t xml:space="preserve">01 </w:t>
                  </w:r>
                  <w:r>
                    <w:rPr>
                      <w:rStyle w:val="10"/>
                      <w:sz w:val="18"/>
                      <w:szCs w:val="18"/>
                      <w:lang w:val="en-US" w:eastAsia="zh-CN" w:bidi="ar"/>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02" w:type="dxa"/>
                  <w:shd w:val="clear" w:color="auto" w:fill="auto"/>
                  <w:noWrap/>
                  <w:vAlign w:val="bottom"/>
                </w:tcPr>
                <w:p>
                  <w:pPr>
                    <w:keepNext w:val="0"/>
                    <w:keepLines w:val="0"/>
                    <w:widowControl/>
                    <w:suppressLineNumbers w:val="0"/>
                    <w:jc w:val="left"/>
                    <w:textAlignment w:val="bottom"/>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w:t>
                  </w:r>
                </w:p>
              </w:tc>
              <w:tc>
                <w:tcPr>
                  <w:tcW w:w="3180" w:type="dxa"/>
                  <w:shd w:val="clear" w:color="auto" w:fill="auto"/>
                  <w:noWrap/>
                  <w:vAlign w:val="bottom"/>
                </w:tcPr>
                <w:p>
                  <w:pPr>
                    <w:keepNext w:val="0"/>
                    <w:keepLines w:val="0"/>
                    <w:widowControl/>
                    <w:suppressLineNumbers w:val="0"/>
                    <w:jc w:val="center"/>
                    <w:textAlignment w:val="bottom"/>
                    <w:rPr>
                      <w:rFonts w:hint="default" w:ascii="MingLiU" w:hAnsi="MingLiU" w:eastAsia="MingLiU" w:cs="MingLiU"/>
                      <w:i w:val="0"/>
                      <w:iCs w:val="0"/>
                      <w:color w:val="000000"/>
                      <w:sz w:val="18"/>
                      <w:szCs w:val="18"/>
                      <w:u w:val="none"/>
                      <w:lang w:val="en-US"/>
                    </w:rPr>
                  </w:pPr>
                  <w:r>
                    <w:rPr>
                      <w:rStyle w:val="10"/>
                      <w:sz w:val="18"/>
                      <w:szCs w:val="18"/>
                      <w:lang w:val="en-US" w:eastAsia="zh-CN" w:bidi="ar"/>
                    </w:rPr>
                    <w:t>电动汽车多应用场景智慧充放电系统关键</w:t>
                  </w:r>
                  <w:r>
                    <w:rPr>
                      <w:rStyle w:val="10"/>
                      <w:rFonts w:hint="eastAsia"/>
                      <w:sz w:val="18"/>
                      <w:szCs w:val="18"/>
                      <w:lang w:val="en-US" w:eastAsia="zh-CN" w:bidi="ar"/>
                    </w:rPr>
                    <w:t>技术研究</w:t>
                  </w:r>
                </w:p>
              </w:tc>
              <w:tc>
                <w:tcPr>
                  <w:tcW w:w="1960" w:type="dxa"/>
                  <w:shd w:val="clear" w:color="auto" w:fill="auto"/>
                  <w:noWrap/>
                  <w:vAlign w:val="bottom"/>
                </w:tcPr>
                <w:p>
                  <w:pPr>
                    <w:keepNext w:val="0"/>
                    <w:keepLines w:val="0"/>
                    <w:widowControl/>
                    <w:suppressLineNumbers w:val="0"/>
                    <w:jc w:val="center"/>
                    <w:textAlignment w:val="bottom"/>
                    <w:rPr>
                      <w:rFonts w:hint="default" w:ascii="MingLiU" w:hAnsi="MingLiU" w:eastAsia="MingLiU" w:cs="MingLiU"/>
                      <w:i w:val="0"/>
                      <w:iCs w:val="0"/>
                      <w:color w:val="000000"/>
                      <w:sz w:val="18"/>
                      <w:szCs w:val="18"/>
                      <w:u w:val="none"/>
                    </w:rPr>
                  </w:pPr>
                  <w:r>
                    <w:rPr>
                      <w:rStyle w:val="10"/>
                      <w:sz w:val="18"/>
                      <w:szCs w:val="18"/>
                      <w:lang w:val="en-US" w:eastAsia="zh-CN" w:bidi="ar"/>
                    </w:rPr>
                    <w:t>深圳市技术攻关面上项目</w:t>
                  </w:r>
                </w:p>
              </w:tc>
              <w:tc>
                <w:tcPr>
                  <w:tcW w:w="1328" w:type="dxa"/>
                  <w:shd w:val="clear" w:color="auto" w:fill="auto"/>
                  <w:noWrap/>
                  <w:vAlign w:val="bottom"/>
                </w:tcPr>
                <w:p>
                  <w:pPr>
                    <w:keepNext w:val="0"/>
                    <w:keepLines w:val="0"/>
                    <w:widowControl/>
                    <w:suppressLineNumbers w:val="0"/>
                    <w:jc w:val="left"/>
                    <w:textAlignment w:val="bottom"/>
                    <w:rPr>
                      <w:rFonts w:hint="default" w:ascii="MingLiU" w:hAnsi="MingLiU" w:eastAsia="MingLiU" w:cs="MingLiU"/>
                      <w:i w:val="0"/>
                      <w:iCs w:val="0"/>
                      <w:color w:val="000000"/>
                      <w:sz w:val="18"/>
                      <w:szCs w:val="18"/>
                      <w:u w:val="none"/>
                    </w:rPr>
                  </w:pPr>
                  <w:r>
                    <w:rPr>
                      <w:rStyle w:val="10"/>
                      <w:sz w:val="18"/>
                      <w:szCs w:val="18"/>
                      <w:lang w:val="en-US" w:eastAsia="zh-CN" w:bidi="ar"/>
                    </w:rPr>
                    <w:t>参与人员</w:t>
                  </w:r>
                </w:p>
              </w:tc>
              <w:tc>
                <w:tcPr>
                  <w:tcW w:w="1764" w:type="dxa"/>
                  <w:shd w:val="clear" w:color="auto" w:fill="auto"/>
                  <w:noWrap/>
                  <w:vAlign w:val="bottom"/>
                </w:tcPr>
                <w:p>
                  <w:pPr>
                    <w:keepNext w:val="0"/>
                    <w:keepLines w:val="0"/>
                    <w:widowControl/>
                    <w:suppressLineNumbers w:val="0"/>
                    <w:jc w:val="left"/>
                    <w:textAlignment w:val="bottom"/>
                    <w:rPr>
                      <w:rFonts w:hint="default" w:ascii="Arial" w:hAnsi="Arial" w:eastAsia="宋体" w:cs="Arial"/>
                      <w:i w:val="0"/>
                      <w:iCs w:val="0"/>
                      <w:color w:val="000000"/>
                      <w:sz w:val="18"/>
                      <w:szCs w:val="18"/>
                      <w:u w:val="none"/>
                    </w:rPr>
                  </w:pPr>
                  <w:r>
                    <w:rPr>
                      <w:rStyle w:val="11"/>
                      <w:rFonts w:eastAsia="宋体"/>
                      <w:sz w:val="18"/>
                      <w:szCs w:val="18"/>
                      <w:lang w:val="en-US" w:eastAsia="zh-CN" w:bidi="ar"/>
                    </w:rPr>
                    <w:t>2020</w:t>
                  </w:r>
                  <w:r>
                    <w:rPr>
                      <w:rStyle w:val="10"/>
                      <w:sz w:val="18"/>
                      <w:szCs w:val="18"/>
                      <w:lang w:val="en-US" w:eastAsia="zh-CN" w:bidi="ar"/>
                    </w:rPr>
                    <w:t xml:space="preserve">年 </w:t>
                  </w:r>
                  <w:r>
                    <w:rPr>
                      <w:rStyle w:val="11"/>
                      <w:rFonts w:eastAsia="宋体"/>
                      <w:sz w:val="18"/>
                      <w:szCs w:val="18"/>
                      <w:lang w:val="en-US" w:eastAsia="zh-CN" w:bidi="ar"/>
                    </w:rPr>
                    <w:t>10</w:t>
                  </w:r>
                  <w:r>
                    <w:rPr>
                      <w:rStyle w:val="10"/>
                      <w:sz w:val="18"/>
                      <w:szCs w:val="18"/>
                      <w:lang w:val="en-US" w:eastAsia="zh-CN" w:bidi="ar"/>
                    </w:rPr>
                    <w:t>月</w:t>
                  </w:r>
                  <w:r>
                    <w:rPr>
                      <w:rStyle w:val="11"/>
                      <w:rFonts w:eastAsia="宋体"/>
                      <w:sz w:val="18"/>
                      <w:szCs w:val="18"/>
                      <w:lang w:val="en-US" w:eastAsia="zh-CN" w:bidi="ar"/>
                    </w:rPr>
                    <w:t>-2023</w:t>
                  </w:r>
                  <w:r>
                    <w:rPr>
                      <w:rStyle w:val="10"/>
                      <w:sz w:val="18"/>
                      <w:szCs w:val="18"/>
                      <w:lang w:val="en-US" w:eastAsia="zh-CN" w:bidi="ar"/>
                    </w:rPr>
                    <w:t>年</w:t>
                  </w:r>
                  <w:r>
                    <w:rPr>
                      <w:rStyle w:val="11"/>
                      <w:rFonts w:eastAsia="宋体"/>
                      <w:sz w:val="18"/>
                      <w:szCs w:val="18"/>
                      <w:lang w:val="en-US" w:eastAsia="zh-CN" w:bidi="ar"/>
                    </w:rPr>
                    <w:t>06</w:t>
                  </w:r>
                  <w:r>
                    <w:rPr>
                      <w:rStyle w:val="10"/>
                      <w:sz w:val="18"/>
                      <w:szCs w:val="18"/>
                      <w:lang w:val="en-US" w:eastAsia="zh-CN" w:bidi="ar"/>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02" w:type="dxa"/>
                  <w:shd w:val="clear" w:color="auto" w:fill="auto"/>
                  <w:noWrap/>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18"/>
                      <w:szCs w:val="18"/>
                      <w:u w:val="none"/>
                      <w:lang w:val="en-US" w:eastAsia="zh-CN" w:bidi="ar"/>
                    </w:rPr>
                  </w:pPr>
                  <w:r>
                    <w:rPr>
                      <w:rFonts w:hint="eastAsia" w:ascii="Arial" w:hAnsi="Arial" w:cs="Arial"/>
                      <w:i w:val="0"/>
                      <w:iCs w:val="0"/>
                      <w:color w:val="000000"/>
                      <w:kern w:val="0"/>
                      <w:sz w:val="18"/>
                      <w:szCs w:val="18"/>
                      <w:u w:val="none"/>
                      <w:lang w:val="en-US" w:eastAsia="zh-CN" w:bidi="ar"/>
                    </w:rPr>
                    <w:t>5</w:t>
                  </w:r>
                </w:p>
              </w:tc>
              <w:tc>
                <w:tcPr>
                  <w:tcW w:w="3180" w:type="dxa"/>
                  <w:shd w:val="clear" w:color="auto" w:fill="auto"/>
                  <w:noWrap/>
                  <w:vAlign w:val="bottom"/>
                </w:tcPr>
                <w:p>
                  <w:pPr>
                    <w:keepNext w:val="0"/>
                    <w:keepLines w:val="0"/>
                    <w:widowControl/>
                    <w:suppressLineNumbers w:val="0"/>
                    <w:jc w:val="center"/>
                    <w:textAlignment w:val="bottom"/>
                    <w:rPr>
                      <w:rStyle w:val="10"/>
                      <w:rFonts w:hint="default"/>
                      <w:sz w:val="18"/>
                      <w:szCs w:val="18"/>
                      <w:lang w:val="en-US" w:eastAsia="zh-CN" w:bidi="ar"/>
                    </w:rPr>
                  </w:pPr>
                  <w:r>
                    <w:rPr>
                      <w:rStyle w:val="10"/>
                      <w:rFonts w:hint="default"/>
                      <w:sz w:val="18"/>
                      <w:szCs w:val="18"/>
                      <w:lang w:val="en-US" w:eastAsia="zh-CN" w:bidi="ar"/>
                    </w:rPr>
                    <w:t>超级充电桩关键技术研究与产业化</w:t>
                  </w:r>
                </w:p>
              </w:tc>
              <w:tc>
                <w:tcPr>
                  <w:tcW w:w="1960" w:type="dxa"/>
                  <w:shd w:val="clear" w:color="auto" w:fill="auto"/>
                  <w:noWrap/>
                  <w:vAlign w:val="bottom"/>
                </w:tcPr>
                <w:p>
                  <w:pPr>
                    <w:keepNext w:val="0"/>
                    <w:keepLines w:val="0"/>
                    <w:widowControl/>
                    <w:suppressLineNumbers w:val="0"/>
                    <w:jc w:val="center"/>
                    <w:textAlignment w:val="bottom"/>
                    <w:rPr>
                      <w:rStyle w:val="10"/>
                      <w:rFonts w:hint="default"/>
                      <w:sz w:val="18"/>
                      <w:szCs w:val="18"/>
                      <w:lang w:val="en-US" w:eastAsia="zh-CN" w:bidi="ar"/>
                    </w:rPr>
                  </w:pPr>
                  <w:r>
                    <w:rPr>
                      <w:rStyle w:val="10"/>
                      <w:rFonts w:hint="default"/>
                      <w:sz w:val="18"/>
                      <w:szCs w:val="18"/>
                      <w:lang w:val="en-US" w:eastAsia="zh-CN" w:bidi="ar"/>
                    </w:rPr>
                    <w:t>广东省重点领域研发计划</w:t>
                  </w:r>
                </w:p>
              </w:tc>
              <w:tc>
                <w:tcPr>
                  <w:tcW w:w="1328" w:type="dxa"/>
                  <w:shd w:val="clear" w:color="auto" w:fill="auto"/>
                  <w:noWrap/>
                  <w:vAlign w:val="bottom"/>
                </w:tcPr>
                <w:p>
                  <w:pPr>
                    <w:keepNext w:val="0"/>
                    <w:keepLines w:val="0"/>
                    <w:widowControl/>
                    <w:suppressLineNumbers w:val="0"/>
                    <w:jc w:val="left"/>
                    <w:textAlignment w:val="bottom"/>
                    <w:rPr>
                      <w:rStyle w:val="10"/>
                      <w:rFonts w:hint="default"/>
                      <w:sz w:val="18"/>
                      <w:szCs w:val="18"/>
                      <w:lang w:val="en-US" w:eastAsia="zh-CN" w:bidi="ar"/>
                    </w:rPr>
                  </w:pPr>
                  <w:r>
                    <w:rPr>
                      <w:rStyle w:val="10"/>
                      <w:sz w:val="18"/>
                      <w:szCs w:val="18"/>
                      <w:lang w:val="en-US" w:eastAsia="zh-CN" w:bidi="ar"/>
                    </w:rPr>
                    <w:t>参与人员</w:t>
                  </w:r>
                </w:p>
              </w:tc>
              <w:tc>
                <w:tcPr>
                  <w:tcW w:w="1764" w:type="dxa"/>
                  <w:shd w:val="clear" w:color="auto" w:fill="auto"/>
                  <w:noWrap/>
                  <w:vAlign w:val="bottom"/>
                </w:tcPr>
                <w:p>
                  <w:pPr>
                    <w:keepNext w:val="0"/>
                    <w:keepLines w:val="0"/>
                    <w:widowControl/>
                    <w:suppressLineNumbers w:val="0"/>
                    <w:jc w:val="left"/>
                    <w:textAlignment w:val="bottom"/>
                    <w:rPr>
                      <w:rStyle w:val="11"/>
                      <w:rFonts w:eastAsia="宋体"/>
                      <w:sz w:val="18"/>
                      <w:szCs w:val="18"/>
                      <w:lang w:val="en-US" w:eastAsia="zh-CN" w:bidi="ar"/>
                    </w:rPr>
                  </w:pPr>
                  <w:r>
                    <w:rPr>
                      <w:rStyle w:val="11"/>
                      <w:rFonts w:eastAsia="宋体"/>
                      <w:sz w:val="18"/>
                      <w:szCs w:val="18"/>
                      <w:lang w:val="en-US" w:eastAsia="zh-CN" w:bidi="ar"/>
                    </w:rPr>
                    <w:t>202</w:t>
                  </w:r>
                  <w:r>
                    <w:rPr>
                      <w:rStyle w:val="11"/>
                      <w:rFonts w:hint="eastAsia"/>
                      <w:sz w:val="18"/>
                      <w:szCs w:val="18"/>
                      <w:lang w:val="en-US" w:eastAsia="zh-CN" w:bidi="ar"/>
                    </w:rPr>
                    <w:t>2</w:t>
                  </w:r>
                  <w:r>
                    <w:rPr>
                      <w:rStyle w:val="10"/>
                      <w:sz w:val="18"/>
                      <w:szCs w:val="18"/>
                      <w:lang w:val="en-US" w:eastAsia="zh-CN" w:bidi="ar"/>
                    </w:rPr>
                    <w:t xml:space="preserve">年 </w:t>
                  </w:r>
                  <w:r>
                    <w:rPr>
                      <w:rStyle w:val="11"/>
                      <w:rFonts w:eastAsia="宋体"/>
                      <w:sz w:val="18"/>
                      <w:szCs w:val="18"/>
                      <w:lang w:val="en-US" w:eastAsia="zh-CN" w:bidi="ar"/>
                    </w:rPr>
                    <w:t>10</w:t>
                  </w:r>
                  <w:r>
                    <w:rPr>
                      <w:rStyle w:val="10"/>
                      <w:sz w:val="18"/>
                      <w:szCs w:val="18"/>
                      <w:lang w:val="en-US" w:eastAsia="zh-CN" w:bidi="ar"/>
                    </w:rPr>
                    <w:t>月</w:t>
                  </w:r>
                  <w:r>
                    <w:rPr>
                      <w:rStyle w:val="11"/>
                      <w:rFonts w:eastAsia="宋体"/>
                      <w:sz w:val="18"/>
                      <w:szCs w:val="18"/>
                      <w:lang w:val="en-US" w:eastAsia="zh-CN" w:bidi="ar"/>
                    </w:rPr>
                    <w:t>-202</w:t>
                  </w:r>
                  <w:r>
                    <w:rPr>
                      <w:rStyle w:val="11"/>
                      <w:rFonts w:hint="eastAsia"/>
                      <w:sz w:val="18"/>
                      <w:szCs w:val="18"/>
                      <w:lang w:val="en-US" w:eastAsia="zh-CN" w:bidi="ar"/>
                    </w:rPr>
                    <w:t>6</w:t>
                  </w:r>
                  <w:r>
                    <w:rPr>
                      <w:rStyle w:val="10"/>
                      <w:sz w:val="18"/>
                      <w:szCs w:val="18"/>
                      <w:lang w:val="en-US" w:eastAsia="zh-CN" w:bidi="ar"/>
                    </w:rPr>
                    <w:t>年</w:t>
                  </w:r>
                  <w:r>
                    <w:rPr>
                      <w:rStyle w:val="11"/>
                      <w:rFonts w:eastAsia="宋体"/>
                      <w:sz w:val="18"/>
                      <w:szCs w:val="18"/>
                      <w:lang w:val="en-US" w:eastAsia="zh-CN" w:bidi="ar"/>
                    </w:rPr>
                    <w:t>06</w:t>
                  </w:r>
                  <w:r>
                    <w:rPr>
                      <w:rStyle w:val="10"/>
                      <w:sz w:val="18"/>
                      <w:szCs w:val="18"/>
                      <w:lang w:val="en-US" w:eastAsia="zh-CN" w:bidi="ar"/>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702" w:type="dxa"/>
                  <w:shd w:val="clear" w:color="auto" w:fill="auto"/>
                  <w:noWrap/>
                  <w:vAlign w:val="bottom"/>
                </w:tcPr>
                <w:p>
                  <w:pPr>
                    <w:keepNext w:val="0"/>
                    <w:keepLines w:val="0"/>
                    <w:widowControl/>
                    <w:suppressLineNumbers w:val="0"/>
                    <w:jc w:val="left"/>
                    <w:textAlignment w:val="bottom"/>
                    <w:rPr>
                      <w:rFonts w:hint="default" w:ascii="Arial" w:hAnsi="Arial" w:cs="Arial"/>
                      <w:i w:val="0"/>
                      <w:iCs w:val="0"/>
                      <w:color w:val="000000"/>
                      <w:kern w:val="0"/>
                      <w:sz w:val="18"/>
                      <w:szCs w:val="18"/>
                      <w:u w:val="none"/>
                      <w:lang w:val="en-US" w:eastAsia="zh-CN" w:bidi="ar"/>
                    </w:rPr>
                  </w:pPr>
                  <w:r>
                    <w:rPr>
                      <w:rFonts w:hint="eastAsia" w:ascii="Arial" w:hAnsi="Arial" w:cs="Arial"/>
                      <w:i w:val="0"/>
                      <w:iCs w:val="0"/>
                      <w:color w:val="000000"/>
                      <w:kern w:val="0"/>
                      <w:sz w:val="18"/>
                      <w:szCs w:val="18"/>
                      <w:u w:val="none"/>
                      <w:lang w:val="en-US" w:eastAsia="zh-CN" w:bidi="ar"/>
                    </w:rPr>
                    <w:t>6</w:t>
                  </w:r>
                </w:p>
              </w:tc>
              <w:tc>
                <w:tcPr>
                  <w:tcW w:w="3180" w:type="dxa"/>
                  <w:shd w:val="clear" w:color="auto" w:fill="auto"/>
                  <w:noWrap/>
                  <w:vAlign w:val="bottom"/>
                </w:tcPr>
                <w:p>
                  <w:pPr>
                    <w:keepNext w:val="0"/>
                    <w:keepLines w:val="0"/>
                    <w:widowControl/>
                    <w:suppressLineNumbers w:val="0"/>
                    <w:jc w:val="center"/>
                    <w:textAlignment w:val="bottom"/>
                    <w:rPr>
                      <w:rFonts w:hint="default" w:ascii="MingLiU" w:hAnsi="MingLiU" w:eastAsia="MingLiU" w:cs="MingLiU"/>
                      <w:color w:val="000000"/>
                      <w:kern w:val="2"/>
                      <w:sz w:val="18"/>
                      <w:szCs w:val="18"/>
                      <w:u w:val="none"/>
                      <w:lang w:val="en-US" w:eastAsia="zh-CN" w:bidi="ar"/>
                    </w:rPr>
                  </w:pPr>
                  <w:r>
                    <w:rPr>
                      <w:rStyle w:val="10"/>
                      <w:rFonts w:hint="default"/>
                      <w:sz w:val="18"/>
                      <w:szCs w:val="18"/>
                      <w:lang w:val="en-US" w:eastAsia="zh-CN" w:bidi="ar"/>
                    </w:rPr>
                    <w:t>储能系统安全检测方法研究</w:t>
                  </w:r>
                </w:p>
              </w:tc>
              <w:tc>
                <w:tcPr>
                  <w:tcW w:w="1960" w:type="dxa"/>
                  <w:shd w:val="clear" w:color="auto" w:fill="auto"/>
                  <w:noWrap/>
                  <w:vAlign w:val="bottom"/>
                </w:tcPr>
                <w:p>
                  <w:pPr>
                    <w:keepNext w:val="0"/>
                    <w:keepLines w:val="0"/>
                    <w:widowControl/>
                    <w:suppressLineNumbers w:val="0"/>
                    <w:jc w:val="center"/>
                    <w:textAlignment w:val="bottom"/>
                    <w:rPr>
                      <w:rFonts w:hint="eastAsia" w:ascii="MingLiU" w:hAnsi="MingLiU" w:eastAsia="MingLiU" w:cs="MingLiU"/>
                      <w:color w:val="000000"/>
                      <w:kern w:val="2"/>
                      <w:sz w:val="18"/>
                      <w:szCs w:val="18"/>
                      <w:u w:val="none"/>
                      <w:lang w:val="en-US" w:eastAsia="zh-CN" w:bidi="ar"/>
                    </w:rPr>
                  </w:pPr>
                  <w:r>
                    <w:rPr>
                      <w:rStyle w:val="10"/>
                      <w:rFonts w:hint="eastAsia"/>
                      <w:sz w:val="18"/>
                      <w:szCs w:val="18"/>
                      <w:lang w:val="en-US" w:eastAsia="zh-CN" w:bidi="ar"/>
                    </w:rPr>
                    <w:t>深圳市基础研究</w:t>
                  </w:r>
                </w:p>
              </w:tc>
              <w:tc>
                <w:tcPr>
                  <w:tcW w:w="1328" w:type="dxa"/>
                  <w:shd w:val="clear" w:color="auto" w:fill="auto"/>
                  <w:noWrap/>
                  <w:vAlign w:val="bottom"/>
                </w:tcPr>
                <w:p>
                  <w:pPr>
                    <w:keepNext w:val="0"/>
                    <w:keepLines w:val="0"/>
                    <w:widowControl/>
                    <w:suppressLineNumbers w:val="0"/>
                    <w:jc w:val="left"/>
                    <w:textAlignment w:val="bottom"/>
                    <w:rPr>
                      <w:rFonts w:hint="eastAsia" w:ascii="MingLiU" w:hAnsi="MingLiU" w:eastAsia="MingLiU" w:cs="MingLiU"/>
                      <w:color w:val="000000"/>
                      <w:kern w:val="2"/>
                      <w:sz w:val="18"/>
                      <w:szCs w:val="18"/>
                      <w:u w:val="none"/>
                      <w:lang w:val="en-US" w:eastAsia="zh-CN" w:bidi="ar"/>
                    </w:rPr>
                  </w:pPr>
                  <w:r>
                    <w:rPr>
                      <w:rStyle w:val="10"/>
                      <w:rFonts w:hint="eastAsia"/>
                      <w:sz w:val="18"/>
                      <w:szCs w:val="18"/>
                      <w:lang w:val="en-US" w:eastAsia="zh-CN" w:bidi="ar"/>
                    </w:rPr>
                    <w:t>负责人</w:t>
                  </w:r>
                </w:p>
              </w:tc>
              <w:tc>
                <w:tcPr>
                  <w:tcW w:w="1764" w:type="dxa"/>
                  <w:shd w:val="clear" w:color="auto" w:fill="auto"/>
                  <w:noWrap/>
                  <w:vAlign w:val="bottom"/>
                </w:tcPr>
                <w:p>
                  <w:pPr>
                    <w:keepNext w:val="0"/>
                    <w:keepLines w:val="0"/>
                    <w:widowControl/>
                    <w:suppressLineNumbers w:val="0"/>
                    <w:jc w:val="left"/>
                    <w:textAlignment w:val="bottom"/>
                    <w:rPr>
                      <w:rFonts w:hint="default" w:ascii="Arial" w:hAnsi="Arial" w:eastAsia="宋体" w:cs="Arial"/>
                      <w:color w:val="000000"/>
                      <w:kern w:val="2"/>
                      <w:sz w:val="18"/>
                      <w:szCs w:val="18"/>
                      <w:u w:val="none"/>
                      <w:lang w:val="en-US" w:eastAsia="zh-CN" w:bidi="ar"/>
                    </w:rPr>
                  </w:pPr>
                  <w:r>
                    <w:rPr>
                      <w:rStyle w:val="11"/>
                      <w:rFonts w:eastAsia="宋体"/>
                      <w:sz w:val="18"/>
                      <w:szCs w:val="18"/>
                      <w:lang w:val="en-US" w:eastAsia="zh-CN" w:bidi="ar"/>
                    </w:rPr>
                    <w:t>202</w:t>
                  </w:r>
                  <w:r>
                    <w:rPr>
                      <w:rStyle w:val="11"/>
                      <w:rFonts w:hint="eastAsia"/>
                      <w:sz w:val="18"/>
                      <w:szCs w:val="18"/>
                      <w:lang w:val="en-US" w:eastAsia="zh-CN" w:bidi="ar"/>
                    </w:rPr>
                    <w:t>3</w:t>
                  </w:r>
                  <w:r>
                    <w:rPr>
                      <w:rStyle w:val="10"/>
                      <w:sz w:val="18"/>
                      <w:szCs w:val="18"/>
                      <w:lang w:val="en-US" w:eastAsia="zh-CN" w:bidi="ar"/>
                    </w:rPr>
                    <w:t xml:space="preserve">年 </w:t>
                  </w:r>
                  <w:r>
                    <w:rPr>
                      <w:rStyle w:val="11"/>
                      <w:rFonts w:eastAsia="宋体"/>
                      <w:sz w:val="18"/>
                      <w:szCs w:val="18"/>
                      <w:lang w:val="en-US" w:eastAsia="zh-CN" w:bidi="ar"/>
                    </w:rPr>
                    <w:t>1</w:t>
                  </w:r>
                  <w:r>
                    <w:rPr>
                      <w:rStyle w:val="10"/>
                      <w:sz w:val="18"/>
                      <w:szCs w:val="18"/>
                      <w:lang w:val="en-US" w:eastAsia="zh-CN" w:bidi="ar"/>
                    </w:rPr>
                    <w:t>月</w:t>
                  </w:r>
                  <w:r>
                    <w:rPr>
                      <w:rStyle w:val="11"/>
                      <w:rFonts w:eastAsia="宋体"/>
                      <w:sz w:val="18"/>
                      <w:szCs w:val="18"/>
                      <w:lang w:val="en-US" w:eastAsia="zh-CN" w:bidi="ar"/>
                    </w:rPr>
                    <w:t>-202</w:t>
                  </w:r>
                  <w:r>
                    <w:rPr>
                      <w:rStyle w:val="11"/>
                      <w:rFonts w:hint="eastAsia"/>
                      <w:sz w:val="18"/>
                      <w:szCs w:val="18"/>
                      <w:lang w:val="en-US" w:eastAsia="zh-CN" w:bidi="ar"/>
                    </w:rPr>
                    <w:t>5</w:t>
                  </w:r>
                  <w:r>
                    <w:rPr>
                      <w:rStyle w:val="10"/>
                      <w:sz w:val="18"/>
                      <w:szCs w:val="18"/>
                      <w:lang w:val="en-US" w:eastAsia="zh-CN" w:bidi="ar"/>
                    </w:rPr>
                    <w:t>年</w:t>
                  </w:r>
                  <w:r>
                    <w:rPr>
                      <w:rStyle w:val="11"/>
                      <w:rFonts w:hint="eastAsia"/>
                      <w:sz w:val="18"/>
                      <w:szCs w:val="18"/>
                      <w:lang w:val="en-US" w:eastAsia="zh-CN" w:bidi="ar"/>
                    </w:rPr>
                    <w:t>1</w:t>
                  </w:r>
                  <w:r>
                    <w:rPr>
                      <w:rStyle w:val="10"/>
                      <w:sz w:val="18"/>
                      <w:szCs w:val="18"/>
                      <w:lang w:val="en-US" w:eastAsia="zh-CN" w:bidi="ar"/>
                    </w:rPr>
                    <w:t>月</w:t>
                  </w:r>
                </w:p>
              </w:tc>
            </w:tr>
          </w:tbl>
          <w:p>
            <w:pPr>
              <w:spacing w:line="360" w:lineRule="auto"/>
              <w:rPr>
                <w:rFonts w:hint="default" w:ascii="仿宋" w:hAnsi="仿宋" w:eastAsia="仿宋" w:cs="仿宋_GB2312"/>
                <w:b/>
                <w:bCs/>
                <w:sz w:val="30"/>
                <w:szCs w:val="30"/>
                <w:lang w:val="en-US" w:eastAsia="zh-CN"/>
              </w:rPr>
            </w:pPr>
            <w:r>
              <w:rPr>
                <w:rFonts w:hint="eastAsia" w:ascii="仿宋" w:hAnsi="仿宋" w:eastAsia="仿宋" w:cs="仿宋_GB2312"/>
                <w:b/>
                <w:bCs/>
                <w:sz w:val="30"/>
                <w:szCs w:val="30"/>
                <w:lang w:val="en-US" w:eastAsia="zh-CN"/>
              </w:rPr>
              <w:t>主要学术论文</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eastAsia" w:ascii="Times New Roman" w:hAnsi="Times New Roman" w:eastAsia="仿宋_GB2312" w:cs="Times New Roman"/>
                <w:sz w:val="24"/>
                <w:szCs w:val="24"/>
                <w:lang w:val="en-US" w:eastAsia="zh-CN"/>
              </w:rPr>
              <w:t>1</w:t>
            </w:r>
            <w:r>
              <w:rPr>
                <w:rFonts w:hint="default" w:ascii="Times New Roman" w:hAnsi="Times New Roman" w:eastAsia="仿宋_GB2312" w:cs="Times New Roman"/>
                <w:sz w:val="24"/>
                <w:szCs w:val="24"/>
              </w:rPr>
              <w:t>] Di Zhou , Wenbin Zheng , Ping Fu , Xianlin Pan. Research on online estimation of available capacity of lithium batteries based on daily charging data [J]. Journal of Power Sources. 451 (2020) 227713 .(SCI收录)</w:t>
            </w:r>
          </w:p>
          <w:p>
            <w:pPr>
              <w:spacing w:line="360"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eastAsia" w:ascii="Times New Roman" w:hAnsi="Times New Roman" w:eastAsia="仿宋_GB2312" w:cs="Times New Roman"/>
                <w:sz w:val="24"/>
                <w:szCs w:val="24"/>
                <w:lang w:val="en-US" w:eastAsia="zh-CN"/>
              </w:rPr>
              <w:t>2</w:t>
            </w:r>
            <w:r>
              <w:rPr>
                <w:rFonts w:hint="default" w:ascii="Times New Roman" w:hAnsi="Times New Roman" w:eastAsia="仿宋_GB2312" w:cs="Times New Roman"/>
                <w:sz w:val="24"/>
                <w:szCs w:val="24"/>
              </w:rPr>
              <w:t>]Di Zhou ,Wenbin Zheng.Research on State of Health Prediction Model for Lithium Batteries Based on Actual Diverse Data.Energy 230(2021)120851.(SCI收录)</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eastAsia" w:ascii="Times New Roman" w:hAnsi="Times New Roman" w:eastAsia="仿宋_GB2312" w:cs="Times New Roman"/>
                <w:sz w:val="24"/>
                <w:szCs w:val="24"/>
                <w:lang w:val="en-US" w:eastAsia="zh-CN"/>
              </w:rPr>
              <w:t>3</w:t>
            </w:r>
            <w:r>
              <w:rPr>
                <w:rFonts w:hint="default" w:ascii="Times New Roman" w:hAnsi="Times New Roman" w:eastAsia="仿宋_GB2312" w:cs="Times New Roman"/>
                <w:sz w:val="24"/>
                <w:szCs w:val="24"/>
              </w:rPr>
              <w:t>]  Di Zhou, Hongtao Yin, Ping Fu, Xianhua Song , Wenbin Lu, Lili Yuan, Zuoxian Fu. Prognostics for State of Health of Lithium-Ion Batteries Based on Gaussian Process Regression [J]. Mathematical Problems in Engineering, 2018: 1-11.（SCI收录）</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eastAsia" w:ascii="Times New Roman" w:hAnsi="Times New Roman" w:eastAsia="仿宋_GB2312" w:cs="Times New Roman"/>
                <w:sz w:val="24"/>
                <w:szCs w:val="24"/>
                <w:lang w:val="en-US" w:eastAsia="zh-CN"/>
              </w:rPr>
              <w:t>4</w:t>
            </w:r>
            <w:r>
              <w:rPr>
                <w:rFonts w:hint="default" w:ascii="Times New Roman" w:hAnsi="Times New Roman" w:eastAsia="仿宋_GB2312" w:cs="Times New Roman"/>
                <w:sz w:val="24"/>
                <w:szCs w:val="24"/>
              </w:rPr>
              <w:t>]  Di Zhou, Hongtao Yin, Wei Xie, Ping Fu, Wenbin Lu. Research on Online Capacity Estimation of Power Battery Based on EKF-GPR Model [J]. Journal of Chemistry, 2019: 1-9.（SCI收录）</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eastAsia" w:ascii="Times New Roman" w:hAnsi="Times New Roman" w:eastAsia="仿宋_GB2312" w:cs="Times New Roman"/>
                <w:sz w:val="24"/>
                <w:szCs w:val="24"/>
                <w:lang w:val="en-US" w:eastAsia="zh-CN"/>
              </w:rPr>
              <w:t>5</w:t>
            </w:r>
            <w:r>
              <w:rPr>
                <w:rFonts w:hint="default" w:ascii="Times New Roman" w:hAnsi="Times New Roman" w:eastAsia="仿宋_GB2312" w:cs="Times New Roman"/>
                <w:sz w:val="24"/>
                <w:szCs w:val="24"/>
              </w:rPr>
              <w:t>]  Di Zhou, Ping Fu, Hongtao Yin,Wei Xie,Shou Feng.A Study of Online State-of-Health Estimation Method for in-use Electric Vehicles Based on Charge Data [J], IEICE Transactions on Information and Systems,  2019, E102D(7):1302-1309 （SCI收录）</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eastAsia" w:ascii="Times New Roman" w:hAnsi="Times New Roman" w:eastAsia="仿宋_GB2312" w:cs="Times New Roman"/>
                <w:sz w:val="24"/>
                <w:szCs w:val="24"/>
                <w:lang w:val="en-US" w:eastAsia="zh-CN"/>
              </w:rPr>
              <w:t>6</w:t>
            </w:r>
            <w:r>
              <w:rPr>
                <w:rFonts w:hint="default" w:ascii="Times New Roman" w:hAnsi="Times New Roman" w:eastAsia="仿宋_GB2312" w:cs="Times New Roman"/>
                <w:sz w:val="24"/>
                <w:szCs w:val="24"/>
              </w:rPr>
              <w:t xml:space="preserve">]  周頔，宋显华，卢文斌，付平. 基于日常片段充电数据的锂电池健康状态实时评估方法研究[J]. 中国电机工程学报，2019，39（1）：105-111.（EI收录） </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eastAsia" w:ascii="Times New Roman" w:hAnsi="Times New Roman" w:eastAsia="仿宋_GB2312" w:cs="Times New Roman"/>
                <w:sz w:val="24"/>
                <w:szCs w:val="24"/>
                <w:lang w:val="en-US" w:eastAsia="zh-CN"/>
              </w:rPr>
              <w:t>7</w:t>
            </w:r>
            <w:r>
              <w:rPr>
                <w:rFonts w:hint="default" w:ascii="Times New Roman" w:hAnsi="Times New Roman" w:eastAsia="仿宋_GB2312" w:cs="Times New Roman"/>
                <w:sz w:val="24"/>
                <w:szCs w:val="24"/>
              </w:rPr>
              <w:t>]  Di Zhou, Prognostics for Charge and Discharge of Lithium-ion Batteries based on Gaussian Process Regression [C]. 13th International Forum on Strategic Technology (IFOST 2018), Harbin, 2018.</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eastAsia" w:ascii="Times New Roman" w:hAnsi="Times New Roman" w:eastAsia="仿宋_GB2312" w:cs="Times New Roman"/>
                <w:sz w:val="24"/>
                <w:szCs w:val="24"/>
                <w:lang w:val="en-US" w:eastAsia="zh-CN"/>
              </w:rPr>
              <w:t>8</w:t>
            </w:r>
            <w:r>
              <w:rPr>
                <w:rFonts w:hint="default" w:ascii="Times New Roman" w:hAnsi="Times New Roman" w:eastAsia="仿宋_GB2312" w:cs="Times New Roman"/>
                <w:sz w:val="24"/>
                <w:szCs w:val="24"/>
              </w:rPr>
              <w:t>]  周頔, 卢文斌, 付平. 基于蒙特卡洛法对电池容量测量不确定度的研究[J]. 计量技术, 2019(8): 3-5, 13</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eastAsia" w:ascii="Times New Roman" w:hAnsi="Times New Roman" w:eastAsia="仿宋_GB2312" w:cs="Times New Roman"/>
                <w:sz w:val="24"/>
                <w:szCs w:val="24"/>
                <w:lang w:val="en-US" w:eastAsia="zh-CN"/>
              </w:rPr>
              <w:t>9</w:t>
            </w:r>
            <w:r>
              <w:rPr>
                <w:rFonts w:hint="default" w:ascii="Times New Roman" w:hAnsi="Times New Roman" w:eastAsia="仿宋_GB2312" w:cs="Times New Roman"/>
                <w:sz w:val="24"/>
                <w:szCs w:val="24"/>
              </w:rPr>
              <w:t>]  周頔，卢文斌，付平. 锂电池容量测量不确定度评定与等效模型验证方法[J]. 储能科学与技术，2019(8):862-867</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eastAsia" w:ascii="仿宋" w:hAnsi="仿宋" w:eastAsia="仿宋" w:cs="仿宋_GB2312"/>
                <w:b/>
                <w:bCs/>
                <w:sz w:val="30"/>
                <w:szCs w:val="30"/>
                <w:lang w:val="en-US" w:eastAsia="zh-CN"/>
              </w:rPr>
            </w:pPr>
            <w:r>
              <w:rPr>
                <w:rFonts w:hint="eastAsia" w:ascii="仿宋" w:hAnsi="仿宋" w:eastAsia="仿宋" w:cs="仿宋_GB2312"/>
                <w:b/>
                <w:bCs/>
                <w:sz w:val="30"/>
                <w:szCs w:val="30"/>
                <w:lang w:val="en-US" w:eastAsia="zh-CN"/>
              </w:rPr>
              <w:t>主持/参与起草标准</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JJG 1149-2022 《电动汽车非车载充电机》</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NB/T 10901-2021《电动汽车充电设备现场检验技术规范》</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NB/T 33004-2020 《电动汽车充换电设施工程施工和竣工验收规范》</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DB4403/T 56—2020 《住宅小区电动汽车充电设施安全管理规范》</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DB4403/T 77-2020 《新能源汽车充电安全监控平台数据采集规范》</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DB4403/T 109—2020《机械式停车 充电一体化设备系列规范》</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DB4403/T 18-2019《道路侧电动汽车充电设施建设规范》</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DB4403/T 20-2019《电动汽车车载锂离子动力电池系统检测方法》</w:t>
            </w:r>
          </w:p>
          <w:p>
            <w:pPr>
              <w:numPr>
                <w:ilvl w:val="0"/>
                <w:numId w:val="0"/>
              </w:numPr>
              <w:spacing w:line="360" w:lineRule="auto"/>
              <w:rPr>
                <w:rFonts w:hint="eastAsia" w:ascii="仿宋" w:hAnsi="仿宋" w:eastAsia="仿宋" w:cs="仿宋_GB2312"/>
                <w:b/>
                <w:bCs/>
                <w:sz w:val="30"/>
                <w:szCs w:val="30"/>
                <w:lang w:val="en-US" w:eastAsia="zh-CN"/>
              </w:rPr>
            </w:pPr>
            <w:r>
              <w:rPr>
                <w:rFonts w:hint="eastAsia" w:ascii="仿宋" w:hAnsi="仿宋" w:eastAsia="仿宋" w:cs="仿宋_GB2312"/>
                <w:b/>
                <w:bCs/>
                <w:sz w:val="30"/>
                <w:szCs w:val="30"/>
                <w:lang w:val="en-US" w:eastAsia="zh-CN"/>
              </w:rPr>
              <w:t>参与的学术组织</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能源行业电动汽车标准化技术委员会电动汽车充电检测认证标准工作组成员</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（2）全国测量不确定度计量技术委员会委员</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）IEEE PES（中国）电力系统测量与仪器技术委员会电力系统测量数字化技术分委会</w:t>
            </w:r>
            <w:r>
              <w:rPr>
                <w:rFonts w:hint="eastAsia" w:ascii="宋体" w:hAnsi="宋体" w:eastAsia="宋体" w:cs="宋体"/>
                <w:sz w:val="24"/>
                <w:szCs w:val="24"/>
                <w:lang w:val="en-US" w:eastAsia="zh-CN"/>
              </w:rPr>
              <w:t>委员</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（4）电动汽车产业技术创新战略联盟充电基础设施专业委员会委员</w:t>
            </w:r>
          </w:p>
          <w:p>
            <w:pPr>
              <w:numPr>
                <w:ilvl w:val="0"/>
                <w:numId w:val="0"/>
              </w:numPr>
              <w:spacing w:line="360" w:lineRule="auto"/>
              <w:rPr>
                <w:rFonts w:hint="eastAsia" w:ascii="宋体" w:hAnsi="宋体" w:eastAsia="宋体" w:cs="宋体"/>
                <w:b/>
                <w:bCs/>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广东省电动汽车标准化技术委员会委员</w:t>
            </w:r>
          </w:p>
          <w:p>
            <w:pPr>
              <w:numPr>
                <w:ilvl w:val="0"/>
                <w:numId w:val="0"/>
              </w:numPr>
              <w:spacing w:line="360" w:lineRule="auto"/>
              <w:rPr>
                <w:rFonts w:hint="eastAsia" w:ascii="仿宋" w:hAnsi="仿宋" w:eastAsia="仿宋" w:cs="仿宋_GB2312"/>
                <w:b/>
                <w:bCs/>
                <w:sz w:val="30"/>
                <w:szCs w:val="30"/>
                <w:lang w:val="en-US" w:eastAsia="zh-CN"/>
              </w:rPr>
            </w:pPr>
            <w:r>
              <w:rPr>
                <w:rFonts w:hint="eastAsia" w:ascii="仿宋" w:hAnsi="仿宋" w:eastAsia="仿宋" w:cs="仿宋_GB2312"/>
                <w:b/>
                <w:bCs/>
                <w:sz w:val="30"/>
                <w:szCs w:val="30"/>
                <w:lang w:val="en-US" w:eastAsia="zh-CN"/>
              </w:rPr>
              <w:t>受到奖励</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cs="宋体"/>
                <w:sz w:val="24"/>
                <w:szCs w:val="24"/>
                <w:lang w:val="en-US" w:eastAsia="zh-CN"/>
              </w:rPr>
              <w:t xml:space="preserve">2021年 </w:t>
            </w:r>
            <w:r>
              <w:rPr>
                <w:rFonts w:hint="eastAsia" w:ascii="宋体" w:hAnsi="宋体" w:eastAsia="宋体" w:cs="宋体"/>
                <w:sz w:val="24"/>
                <w:szCs w:val="24"/>
                <w:lang w:eastAsia="zh-CN"/>
              </w:rPr>
              <w:t>中国机械工业科学技术奖 科技进步二等奖</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eastAsia="宋体" w:cs="宋体"/>
                <w:sz w:val="24"/>
                <w:szCs w:val="24"/>
                <w:lang w:eastAsia="zh-CN"/>
              </w:rPr>
              <w:t>中国仪器仪表学会科学进步一等奖</w:t>
            </w:r>
          </w:p>
          <w:p>
            <w:pPr>
              <w:keepNext w:val="0"/>
              <w:keepLines w:val="0"/>
              <w:pageBreakBefore w:val="0"/>
              <w:widowControl w:val="0"/>
              <w:kinsoku/>
              <w:wordWrap/>
              <w:overflowPunct/>
              <w:topLinePunct w:val="0"/>
              <w:autoSpaceDE/>
              <w:autoSpaceDN/>
              <w:bidi w:val="0"/>
              <w:adjustRightInd/>
              <w:spacing w:before="156" w:beforeLines="50" w:line="578" w:lineRule="exact"/>
              <w:textAlignment w:val="auto"/>
              <w:rPr>
                <w:rFonts w:hint="eastAsia" w:ascii="仿宋_GB2312" w:eastAsia="仿宋_GB2312"/>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cs="宋体"/>
                <w:sz w:val="24"/>
                <w:szCs w:val="24"/>
                <w:lang w:val="en-US" w:eastAsia="zh-CN"/>
              </w:rPr>
              <w:t>2022</w:t>
            </w:r>
            <w:r>
              <w:rPr>
                <w:rFonts w:hint="eastAsia" w:ascii="宋体" w:hAnsi="宋体" w:cs="宋体"/>
                <w:sz w:val="24"/>
                <w:szCs w:val="24"/>
                <w:lang w:eastAsia="zh-CN"/>
              </w:rPr>
              <w:t>年中国产学研合作创新与促进奖</w:t>
            </w:r>
            <w:r>
              <w:rPr>
                <w:rFonts w:hint="eastAsia" w:ascii="宋体" w:hAnsi="宋体" w:cs="宋体"/>
                <w:sz w:val="24"/>
                <w:szCs w:val="24"/>
                <w:lang w:val="en-US" w:eastAsia="zh-CN"/>
              </w:rPr>
              <w:t xml:space="preserve"> 二等奖</w:t>
            </w:r>
            <w:bookmarkStart w:id="0" w:name="_GoBack"/>
            <w:bookmarkEnd w:id="0"/>
          </w:p>
          <w:p>
            <w:pPr>
              <w:jc w:val="center"/>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1"/>
            <w:vAlign w:val="center"/>
          </w:tcPr>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人事（或组织）部门负责人签字：                         </w:t>
            </w:r>
          </w:p>
          <w:p>
            <w:pPr>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1"/>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学院学位评定分委员会评议、推荐意见</w:t>
            </w:r>
          </w:p>
          <w:p>
            <w:pPr>
              <w:spacing w:line="400" w:lineRule="exact"/>
              <w:rPr>
                <w:rFonts w:ascii="仿宋_GB2312" w:eastAsia="仿宋_GB2312"/>
                <w:sz w:val="24"/>
                <w:szCs w:val="24"/>
              </w:rPr>
            </w:pPr>
          </w:p>
          <w:p>
            <w:pPr>
              <w:spacing w:line="400" w:lineRule="exact"/>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主席签字：                         </w:t>
            </w:r>
          </w:p>
          <w:p>
            <w:pPr>
              <w:spacing w:line="400" w:lineRule="exact"/>
              <w:ind w:firstLine="240" w:firstLineChars="100"/>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8790" w:type="dxa"/>
            <w:gridSpan w:val="11"/>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校学位评定委员会审批意见</w:t>
            </w:r>
          </w:p>
          <w:p>
            <w:pPr>
              <w:spacing w:line="400" w:lineRule="exact"/>
              <w:ind w:firstLine="240" w:firstLineChars="100"/>
              <w:rPr>
                <w:rFonts w:ascii="仿宋_GB2312" w:eastAsia="仿宋_GB2312"/>
                <w:sz w:val="24"/>
                <w:szCs w:val="24"/>
              </w:rPr>
            </w:pPr>
            <w:r>
              <w:rPr>
                <w:rFonts w:hint="eastAsia" w:ascii="仿宋_GB2312" w:eastAsia="仿宋_GB2312"/>
                <w:sz w:val="24"/>
                <w:szCs w:val="24"/>
              </w:rPr>
              <w:t xml:space="preserve"> </w:t>
            </w:r>
            <w:r>
              <w:rPr>
                <w:rFonts w:ascii="仿宋_GB2312" w:eastAsia="仿宋_GB2312"/>
                <w:sz w:val="24"/>
                <w:szCs w:val="24"/>
              </w:rPr>
              <w:t xml:space="preserve"> </w:t>
            </w:r>
          </w:p>
          <w:p>
            <w:pPr>
              <w:spacing w:line="400" w:lineRule="exact"/>
              <w:ind w:firstLine="720" w:firstLineChars="300"/>
              <w:rPr>
                <w:rFonts w:ascii="仿宋_GB2312" w:eastAsia="仿宋_GB2312"/>
                <w:sz w:val="24"/>
                <w:szCs w:val="24"/>
              </w:rPr>
            </w:pPr>
            <w:r>
              <w:rPr>
                <w:rFonts w:hint="eastAsia" w:ascii="仿宋_GB2312" w:eastAsia="仿宋_GB2312"/>
                <w:sz w:val="24"/>
                <w:szCs w:val="24"/>
              </w:rPr>
              <w:t>同意聘任，聘期三年。</w:t>
            </w:r>
          </w:p>
          <w:p>
            <w:pPr>
              <w:wordWrap w:val="0"/>
              <w:spacing w:line="400" w:lineRule="exact"/>
              <w:ind w:right="480" w:firstLine="304" w:firstLineChars="127"/>
              <w:jc w:val="right"/>
              <w:rPr>
                <w:rFonts w:ascii="仿宋_GB2312" w:eastAsia="仿宋_GB2312"/>
                <w:sz w:val="24"/>
                <w:szCs w:val="24"/>
              </w:rPr>
            </w:pPr>
            <w:r>
              <w:rPr>
                <w:rFonts w:hint="eastAsia" w:ascii="仿宋_GB2312" w:eastAsia="仿宋_GB2312"/>
                <w:sz w:val="24"/>
                <w:szCs w:val="24"/>
              </w:rPr>
              <w:t xml:space="preserve">                      </w:t>
            </w:r>
          </w:p>
          <w:p>
            <w:pPr>
              <w:spacing w:line="400" w:lineRule="exact"/>
              <w:ind w:firstLine="2095" w:firstLineChars="873"/>
              <w:jc w:val="right"/>
              <w:rPr>
                <w:rFonts w:ascii="仿宋_GB2312" w:eastAsia="仿宋_GB2312"/>
                <w:sz w:val="24"/>
                <w:szCs w:val="24"/>
              </w:rPr>
            </w:pPr>
            <w:r>
              <w:rPr>
                <w:rFonts w:hint="eastAsia" w:ascii="仿宋_GB2312" w:eastAsia="仿宋_GB2312"/>
                <w:sz w:val="24"/>
                <w:szCs w:val="24"/>
              </w:rPr>
              <w:t>公章：            年    月   日</w:t>
            </w:r>
          </w:p>
        </w:tc>
      </w:tr>
    </w:tbl>
    <w:p>
      <w:pPr>
        <w:ind w:left="-141" w:leftChars="-67"/>
        <w:rPr>
          <w:szCs w:val="21"/>
        </w:rPr>
      </w:pPr>
      <w:r>
        <w:rPr>
          <w:rFonts w:hint="eastAsia"/>
          <w:szCs w:val="21"/>
        </w:rPr>
        <w:t>注：此表正反面打印，一式二份，分别存申报学院和校学位评定委员会办公室。</w:t>
      </w:r>
    </w:p>
    <w:sectPr>
      <w:footerReference r:id="rId5" w:type="first"/>
      <w:footerReference r:id="rId3" w:type="default"/>
      <w:footerReference r:id="rId4" w:type="even"/>
      <w:pgSz w:w="11907" w:h="16840"/>
      <w:pgMar w:top="1134" w:right="1514" w:bottom="1134" w:left="1786" w:header="992" w:footer="992" w:gutter="113"/>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ingLiU">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4432342"/>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0</w: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016B67"/>
    <w:rsid w:val="00016B67"/>
    <w:rsid w:val="0006523E"/>
    <w:rsid w:val="002A1593"/>
    <w:rsid w:val="002C1ACD"/>
    <w:rsid w:val="0037456A"/>
    <w:rsid w:val="00565293"/>
    <w:rsid w:val="005833D1"/>
    <w:rsid w:val="00585179"/>
    <w:rsid w:val="005A646E"/>
    <w:rsid w:val="005B2204"/>
    <w:rsid w:val="00642D51"/>
    <w:rsid w:val="00694B80"/>
    <w:rsid w:val="006F6421"/>
    <w:rsid w:val="00765876"/>
    <w:rsid w:val="007A5A02"/>
    <w:rsid w:val="007C5FBA"/>
    <w:rsid w:val="008321E4"/>
    <w:rsid w:val="00883821"/>
    <w:rsid w:val="008F115A"/>
    <w:rsid w:val="00AC33D6"/>
    <w:rsid w:val="00B8612F"/>
    <w:rsid w:val="00DE62E2"/>
    <w:rsid w:val="00E42546"/>
    <w:rsid w:val="00E8378D"/>
    <w:rsid w:val="00F54329"/>
    <w:rsid w:val="00F634C9"/>
    <w:rsid w:val="65CF6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customStyle="1" w:styleId="7">
    <w:name w:val="页脚 字符"/>
    <w:basedOn w:val="5"/>
    <w:link w:val="2"/>
    <w:uiPriority w:val="99"/>
    <w:rPr>
      <w:rFonts w:ascii="Times New Roman" w:hAnsi="Times New Roman" w:eastAsia="宋体" w:cs="Times New Roman"/>
      <w:sz w:val="18"/>
      <w:szCs w:val="18"/>
    </w:rPr>
  </w:style>
  <w:style w:type="character" w:customStyle="1" w:styleId="8">
    <w:name w:val="页眉 字符"/>
    <w:basedOn w:val="5"/>
    <w:link w:val="3"/>
    <w:uiPriority w:val="99"/>
    <w:rPr>
      <w:rFonts w:ascii="Times New Roman" w:hAnsi="Times New Roman" w:eastAsia="宋体" w:cs="Times New Roman"/>
      <w:sz w:val="18"/>
      <w:szCs w:val="18"/>
    </w:rPr>
  </w:style>
  <w:style w:type="character" w:customStyle="1" w:styleId="9">
    <w:name w:val="font11"/>
    <w:basedOn w:val="5"/>
    <w:qFormat/>
    <w:uiPriority w:val="0"/>
    <w:rPr>
      <w:rFonts w:hint="default" w:ascii="MingLiU" w:hAnsi="MingLiU" w:eastAsia="MingLiU" w:cs="MingLiU"/>
      <w:b/>
      <w:bCs/>
      <w:color w:val="000000"/>
      <w:sz w:val="20"/>
      <w:szCs w:val="20"/>
      <w:u w:val="none"/>
    </w:rPr>
  </w:style>
  <w:style w:type="character" w:customStyle="1" w:styleId="10">
    <w:name w:val="font31"/>
    <w:basedOn w:val="5"/>
    <w:qFormat/>
    <w:uiPriority w:val="0"/>
    <w:rPr>
      <w:rFonts w:hint="default" w:ascii="MingLiU" w:hAnsi="MingLiU" w:eastAsia="MingLiU" w:cs="MingLiU"/>
      <w:color w:val="000000"/>
      <w:sz w:val="20"/>
      <w:szCs w:val="20"/>
      <w:u w:val="none"/>
    </w:rPr>
  </w:style>
  <w:style w:type="character" w:customStyle="1" w:styleId="11">
    <w:name w:val="font21"/>
    <w:basedOn w:val="5"/>
    <w:qFormat/>
    <w:uiPriority w:val="0"/>
    <w:rPr>
      <w:rFonts w:hint="default" w:ascii="Arial" w:hAnsi="Arial" w:cs="Arial"/>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Words>
  <Characters>436</Characters>
  <Lines>3</Lines>
  <Paragraphs>1</Paragraphs>
  <TotalTime>1</TotalTime>
  <ScaleCrop>false</ScaleCrop>
  <LinksUpToDate>false</LinksUpToDate>
  <CharactersWithSpaces>511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2021-05-04T00:14:00Z</dcterms:created>
  <dc:creator>zhoud</dc:creator>
  <cp:lastModifiedBy>周頔</cp:lastModifiedBy>
  <cp:lastPrinted>2021-05-04T01:03:00Z</cp:lastPrinted>
  <dcterms:modified xsi:type="dcterms:W3CDTF">2023-05-31T14:10:20Z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71C64197693C40ADAA267CD1E80B1BCD_12</vt:lpwstr>
  </property>
</Properties>
</file>